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63" w:beforeLines="50" w:line="480" w:lineRule="auto"/>
        <w:jc w:val="center"/>
        <w:rPr>
          <w:rFonts w:ascii="黑体" w:hAnsi="宋体" w:eastAsia="黑体" w:cs="黑体"/>
          <w:sz w:val="36"/>
          <w:szCs w:val="36"/>
          <w:lang w:eastAsia="zh-CN"/>
        </w:rPr>
      </w:pPr>
      <w:r>
        <w:rPr>
          <w:rFonts w:hint="eastAsia" w:ascii="黑体" w:hAnsi="宋体" w:eastAsia="黑体" w:cs="黑体"/>
          <w:sz w:val="36"/>
          <w:szCs w:val="36"/>
          <w:lang w:eastAsia="zh-CN"/>
        </w:rPr>
        <w:t>佛山市佛山标准和卓越绩效管理促进会</w:t>
      </w:r>
    </w:p>
    <w:p>
      <w:pPr>
        <w:widowControl/>
        <w:spacing w:before="163" w:beforeLines="50" w:line="480" w:lineRule="auto"/>
        <w:jc w:val="center"/>
        <w:rPr>
          <w:rFonts w:ascii="黑体" w:hAnsi="宋体" w:eastAsia="黑体" w:cs="黑体"/>
          <w:sz w:val="36"/>
          <w:szCs w:val="36"/>
          <w:lang w:eastAsia="zh-CN"/>
        </w:rPr>
      </w:pPr>
      <w:r>
        <w:rPr>
          <w:rFonts w:hint="eastAsia" w:ascii="黑体" w:hAnsi="宋体" w:eastAsia="黑体" w:cs="黑体"/>
          <w:sz w:val="36"/>
          <w:szCs w:val="36"/>
          <w:lang w:eastAsia="zh-CN"/>
        </w:rPr>
        <w:t>《佛山标准</w:t>
      </w:r>
      <w:r>
        <w:rPr>
          <w:rFonts w:hint="eastAsia" w:ascii="黑体" w:hAnsi="宋体" w:eastAsia="黑体" w:cs="黑体"/>
          <w:sz w:val="36"/>
          <w:szCs w:val="36"/>
          <w:lang w:val="en-US" w:eastAsia="zh-CN"/>
        </w:rPr>
        <w:t xml:space="preserve"> 制冷陈列柜</w:t>
      </w:r>
      <w:r>
        <w:rPr>
          <w:rFonts w:hint="eastAsia" w:ascii="黑体" w:hAnsi="宋体" w:eastAsia="黑体" w:cs="黑体"/>
          <w:sz w:val="36"/>
          <w:szCs w:val="36"/>
          <w:lang w:eastAsia="zh-CN"/>
        </w:rPr>
        <w:t>》团体标准编制说明</w:t>
      </w:r>
    </w:p>
    <w:p>
      <w:pPr>
        <w:widowControl/>
        <w:spacing w:line="720" w:lineRule="auto"/>
        <w:rPr>
          <w:sz w:val="28"/>
          <w:szCs w:val="28"/>
          <w:lang w:eastAsia="zh-CN"/>
        </w:rPr>
      </w:pPr>
      <w:r>
        <w:rPr>
          <w:rFonts w:ascii="黑体" w:hAnsi="宋体" w:eastAsia="黑体" w:cs="黑体"/>
          <w:sz w:val="28"/>
          <w:szCs w:val="28"/>
          <w:lang w:eastAsia="zh-CN"/>
        </w:rPr>
        <w:t>1 项目背景</w:t>
      </w:r>
    </w:p>
    <w:p>
      <w:pPr>
        <w:widowControl/>
        <w:numPr>
          <w:ilvl w:val="1"/>
          <w:numId w:val="7"/>
        </w:numPr>
        <w:spacing w:line="720" w:lineRule="auto"/>
        <w:rPr>
          <w:rFonts w:hint="eastAsia" w:ascii="黑体" w:hAnsi="宋体" w:eastAsia="黑体" w:cs="黑体"/>
          <w:sz w:val="28"/>
          <w:szCs w:val="28"/>
          <w:lang w:eastAsia="zh-CN"/>
        </w:rPr>
      </w:pPr>
      <w:r>
        <w:rPr>
          <w:rFonts w:hint="eastAsia" w:ascii="黑体" w:hAnsi="宋体" w:eastAsia="黑体" w:cs="黑体"/>
          <w:sz w:val="28"/>
          <w:szCs w:val="28"/>
          <w:lang w:eastAsia="zh-CN"/>
        </w:rPr>
        <w:t>产业背景</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制冷陈列柜是指有制冷系统冷却的陈列柜，可存放、陈列冷藏和冷冻食品,并使存放的食品温度保持在规定的范围内。自2014年起中国制冷陈列柜内销量逐年攀升，2018年中国制冷陈列柜内销量达8.91万台，较2017年增加了1.37万台，同比增长18.2%，2019年较2018年小幅下滑，2019年中国制冷陈列柜内销量为8.69万台，较2018年减少了0.23万台，同比减少2.6%。</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随着社会经济的飞速发展和人们生活水平的不断提高，方便、安全、卫生、营养的冷冻冷藏食品受到越来越多人的青睐，使其生产和销售得到迅速发展。2020年中国制冷陈列柜销量达24.5万台，较2019年增加了0.9万台，同比增长3.8%。</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 xml:space="preserve">制冷陈列柜要求及其试验依据的最新标准为GB/T21001.2-2015《制冷陈列柜第2部分:分类、要求和试验条件》。标准规定了用于销售和陈列食品的制冷陈列柜的机构、特性和性能要求，同时也规定了制冷陈列柜的试验条件、试验方法、分级方法等生产企业须在产品开发、定型、质量检测、定期抽检、转厂生产等环节对产品进行型式试验，以确保产品设计、制冷性能、装配工艺、生产条件等符合标准技术要求。 本佛山标准就是在此标准的基础上制定的。    </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p>
    <w:p>
      <w:pPr>
        <w:widowControl/>
        <w:numPr>
          <w:ilvl w:val="1"/>
          <w:numId w:val="7"/>
        </w:numPr>
        <w:spacing w:line="720" w:lineRule="auto"/>
        <w:rPr>
          <w:rFonts w:hint="eastAsia" w:ascii="黑体" w:hAnsi="宋体" w:eastAsia="黑体" w:cs="黑体"/>
          <w:sz w:val="28"/>
          <w:szCs w:val="28"/>
          <w:lang w:eastAsia="zh-CN"/>
        </w:rPr>
      </w:pPr>
      <w:r>
        <w:rPr>
          <w:rFonts w:hint="eastAsia" w:ascii="黑体" w:hAnsi="宋体" w:eastAsia="黑体" w:cs="黑体"/>
          <w:sz w:val="28"/>
          <w:szCs w:val="28"/>
          <w:lang w:eastAsia="zh-CN"/>
        </w:rPr>
        <w:t>国内外产业情况</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在2000年至2010年间，中国制冷陈列柜行业处于早期发展阶段，主要由几家大型外资企业和少数国内企业主导。市场上的产品种类相对单一，主要集中在超市和大型连锁零售店。2005年，行业总产值约为50亿元人民币，年增长率约为10%。</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2010年至2020年，中国制冷陈列柜行业进入了快速增长阶段。随着消费者对食品安全和新鲜度要求的提高，以及电商和新零售模式的兴起，冷藏陈列柜的需求迅速增加。2015年，行业总产值达到150亿元人民币，较2010年翻了一番。2020年，行业总产值进一步增长至350亿元人民币，年复合增长率约为15%。</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进入 2020年后，中国制冷陈列柜行业逐渐进入成熟与创新阶段，行业内的竞争加剧，技术创新成为企业发展的关键。智能冷藏陈列柜、节能型冷藏柜等新产品不断涌现，满足了市场对高效、环保产品的需求。2023年，行业总产值达到 450 亿元人民币，同比增长 28.6%。</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随着消费者需求变化，消费者对新鲜食品和健康饮食的需求不断增加，推动了制冷陈列柜市场的增长。根据博研咨询&amp;市场调研在线网分析，2023年，中国消费者在新鲜食品上的支出占总食品支出的比例达到了35%，较2018年的28%提高了7个百分点。截至2023年，中国制冷陈列柜行业的市场规模达到了约450亿元人民币，较 2018年的280亿元人民币增长了60.7%。预计到2025年，市场规模将进一步扩大至600亿元人民币，年复合增长率约为10.5%。</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零售业的快速发展，尤其是电商和新零售模式的兴起，为制冷陈列柜提供了新的应用场景。2023年，中国电商市场中的生鲜食品销售额达到了1500亿元人民币同比增长 30%。新零售模式下的无人便利店和智能售货机也对冷藏陈列柜提出了更高的要求。</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政府对食品安全和环保的重视，为制冷陈列柜行业的</w:t>
      </w:r>
      <w:bookmarkStart w:id="9" w:name="_GoBack"/>
      <w:bookmarkEnd w:id="9"/>
      <w:r>
        <w:rPr>
          <w:rFonts w:hint="eastAsia" w:ascii="仿宋" w:hAnsi="仿宋" w:eastAsia="仿宋" w:cs="仿宋"/>
          <w:sz w:val="28"/>
          <w:szCs w:val="28"/>
          <w:lang w:eastAsia="zh-CN"/>
        </w:rPr>
        <w:t>发展提供了政策支持。政府鼓励企业研发高效、节能的冷藏设备。这些政策不仅促进了行业的技术创新，还提高了产品的市场竞争力。</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因而，预计到2025年，中国制冷陈列柜行业的市场规模将达到600亿元人民币，技术创新将继续成为行业发展的主要驱动力，智能制冷陈列柜和节能型制冷陈列柜将成为市场主流。随着消费者对个性化和定制化产品需求的增加，企业将更加注重产品的设计和功能创新，以满足不同场景和用户的需求。</w:t>
      </w:r>
    </w:p>
    <w:p>
      <w:pPr>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佛山的制冷陈列柜行业在广东及国内外都有一定实力和知名度，广东产量占全国</w:t>
      </w:r>
      <w:r>
        <w:rPr>
          <w:rFonts w:hint="eastAsia" w:ascii="仿宋" w:hAnsi="仿宋" w:eastAsia="仿宋" w:cs="仿宋"/>
          <w:sz w:val="28"/>
          <w:szCs w:val="28"/>
          <w:lang w:val="en-US" w:eastAsia="zh-CN"/>
        </w:rPr>
        <w:t>30%左右，而佛山企业</w:t>
      </w:r>
      <w:r>
        <w:rPr>
          <w:rFonts w:hint="eastAsia" w:ascii="仿宋" w:hAnsi="仿宋" w:eastAsia="仿宋" w:cs="仿宋"/>
          <w:sz w:val="28"/>
          <w:szCs w:val="28"/>
          <w:lang w:eastAsia="zh-CN"/>
        </w:rPr>
        <w:t>广东星星的产量在国内市场约占比18%</w:t>
      </w:r>
      <w:r>
        <w:rPr>
          <w:rFonts w:hint="eastAsia" w:ascii="仿宋" w:hAnsi="仿宋" w:eastAsia="仿宋" w:cs="仿宋"/>
          <w:sz w:val="28"/>
          <w:szCs w:val="28"/>
          <w:lang w:val="en-US" w:eastAsia="zh-CN"/>
        </w:rPr>
        <w:t>。</w:t>
      </w:r>
      <w:r>
        <w:rPr>
          <w:rFonts w:hint="eastAsia" w:ascii="仿宋" w:hAnsi="仿宋" w:eastAsia="仿宋" w:cs="仿宋"/>
          <w:sz w:val="28"/>
          <w:szCs w:val="28"/>
          <w:lang w:eastAsia="zh-CN"/>
        </w:rPr>
        <w:t>广东星星公司一家致力于商用厨房冷柜研发与制造、年生产能力50万台的民营企业，拥有U-STAR（优斯达）、GRISTA（格林斯达）两个知名品牌，厂房面积逾200,000平方米的现代化工厂，业界先进的专业生产线以及精密设备，拥有实力雄厚的技术、资深的生产管理团队及获得北美能源之星TMP认证的型式试验室，是全国最大的商用厨房冰箱生产基地之一。产品在国内获取较高市场占有率，又成功拓展了北美、欧洲、东南亚、澳洲及中东等国际市场。公司近年来销量稳步增长，居于行业前茅，公司大力开拓国外市场，出口量持续增长，公司产品销售至美国、澳大利亚、加拿大、英国、越南、墨西哥、东南亚等130多个国家和地区，是商用制冷领导品牌。国际市场年出口数量30万台，年出口额达1.66亿美元。</w:t>
      </w:r>
    </w:p>
    <w:p>
      <w:pPr>
        <w:widowControl/>
        <w:numPr>
          <w:ilvl w:val="1"/>
          <w:numId w:val="7"/>
        </w:numPr>
        <w:spacing w:line="720" w:lineRule="auto"/>
        <w:rPr>
          <w:rFonts w:hint="eastAsia" w:ascii="黑体" w:hAnsi="宋体" w:eastAsia="黑体" w:cs="黑体"/>
          <w:sz w:val="28"/>
          <w:szCs w:val="28"/>
          <w:lang w:eastAsia="zh-CN"/>
        </w:rPr>
      </w:pPr>
      <w:bookmarkStart w:id="0" w:name="OLE_LINK2"/>
      <w:r>
        <w:rPr>
          <w:rFonts w:hint="eastAsia" w:ascii="黑体" w:hAnsi="宋体" w:eastAsia="黑体" w:cs="黑体"/>
          <w:sz w:val="28"/>
          <w:szCs w:val="28"/>
          <w:lang w:eastAsia="zh-CN"/>
        </w:rPr>
        <w:t>制冷陈列柜技术发展趋势</w:t>
      </w:r>
    </w:p>
    <w:bookmarkEnd w:id="0"/>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（一）技术创新趋势</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冷藏陈列柜行业的技术创新趋势主要集中在节能降耗、智能化和环保材料的应用上。节能降耗方面，企业通过优化制冷系统、提高能效比等方式，降低产品能耗，满足市场需求。智能化方面，结合物联网、大数据等技术，实现远程监控、数据分析等功能，提升产品智能化水平。环保材料的应用，如使用环保制冷剂、可回收材料等，有助于减少产品对环境的影响。</w:t>
      </w:r>
    </w:p>
    <w:p>
      <w:pPr>
        <w:keepNext w:val="0"/>
        <w:keepLines w:val="0"/>
        <w:pageBreakBefore w:val="0"/>
        <w:widowControl/>
        <w:numPr>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在技术创新方面，制冷陈列柜行业正朝着高效率、低噪音、长寿命的方向发展。例如，新型制冷技术的应用，如变频压缩机、多级压缩技术等，能够有效降低能耗，提高制冷效率。此外，轻量化设计和结构优化也成为了技术创新的重要方向，有助于减轻产品重量，降低运输成本。</w:t>
      </w:r>
    </w:p>
    <w:p>
      <w:pPr>
        <w:keepNext w:val="0"/>
        <w:keepLines w:val="0"/>
        <w:pageBreakBefore w:val="0"/>
        <w:widowControl/>
        <w:numPr>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随着新技术的不断涌现，制冷陈列柜行业正逐渐从单一功能向多功能、个性化方向发展。例如，结合显示屏幕、触摸屏等智能交互技术，实现产品信息展示、广告宣传等功能。同时，针对不同应用场景，如医药、食品加工等行业，开发定制化产品，满足特殊需求。这些技术创新不仅提升了产品的市场竞争力，也为行业的发展注入了新的活力。</w:t>
      </w:r>
    </w:p>
    <w:p>
      <w:pPr>
        <w:keepNext w:val="0"/>
        <w:keepLines w:val="0"/>
        <w:pageBreakBefore w:val="0"/>
        <w:widowControl/>
        <w:numPr>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（二）关键技术突破</w:t>
      </w:r>
    </w:p>
    <w:p>
      <w:pPr>
        <w:keepNext w:val="0"/>
        <w:keepLines w:val="0"/>
        <w:pageBreakBefore w:val="0"/>
        <w:widowControl/>
        <w:numPr>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制冷陈列柜行业在关键技术突破方面取得了显著进展。其中，制冷技术是核心突破之一。新型制冷剂的研发和推广，如R290、R134a等环保制冷剂，不仅符合国际环保标准，而且能效比显著提升。此外，变频压缩机技术的应用，实现了制冷系统的精准控制和能效优化，有效降低了能耗。</w:t>
      </w:r>
    </w:p>
    <w:p>
      <w:pPr>
        <w:keepNext w:val="0"/>
        <w:keepLines w:val="0"/>
        <w:pageBreakBefore w:val="0"/>
        <w:widowControl/>
        <w:numPr>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在智能化领域，行业突破了传统制冷陈列柜的局限，实现了远程监控、数据分析和智能控制等功能。通过集成传感器、无线通信模块等，用户可以实时了解设备的运行状态，实现远程故障诊断和维护。同时，智能控制系统可以根据环境变化自动调节制冷参数，提高能源利用效率。</w:t>
      </w:r>
    </w:p>
    <w:p>
      <w:pPr>
        <w:keepNext w:val="0"/>
        <w:keepLines w:val="0"/>
        <w:pageBreakBefore w:val="0"/>
        <w:widowControl/>
        <w:numPr>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材料技术的突破也为冷藏陈列柜行业带来了新的发展机遇。轻量化材料的应用，如铝合金、不锈钢等，不仅减轻了产品重量，提高了运输效率，还有助于降低能耗。此外，环保材料的使用，如可回收塑料、生物降解材料等，有助于减少产品生命周期内的环境影响，推动行业向可持续发展转型。</w:t>
      </w:r>
    </w:p>
    <w:p>
      <w:pPr>
        <w:widowControl/>
        <w:numPr>
          <w:ilvl w:val="1"/>
          <w:numId w:val="7"/>
        </w:numPr>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提升方向</w:t>
      </w:r>
    </w:p>
    <w:p>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通过打造佛山标准，树立优质区域品牌形象，有助于进一步做大做强产业。进一步提高</w:t>
      </w:r>
      <w:bookmarkStart w:id="1" w:name="OLE_LINK1"/>
      <w:r>
        <w:rPr>
          <w:rFonts w:hint="eastAsia" w:ascii="仿宋" w:hAnsi="仿宋" w:eastAsia="仿宋" w:cs="仿宋"/>
          <w:sz w:val="28"/>
          <w:szCs w:val="28"/>
          <w:lang w:eastAsia="zh-CN"/>
        </w:rPr>
        <w:t>制冷陈列柜</w:t>
      </w:r>
      <w:bookmarkEnd w:id="1"/>
      <w:r>
        <w:rPr>
          <w:rFonts w:hint="eastAsia" w:ascii="仿宋" w:hAnsi="仿宋" w:eastAsia="仿宋" w:cs="仿宋"/>
          <w:sz w:val="28"/>
          <w:szCs w:val="28"/>
          <w:lang w:eastAsia="zh-CN"/>
        </w:rPr>
        <w:t xml:space="preserve">的产品质量，引导行业有序、健康发展，树立和提升区域品牌形象。团体标准的提升方向具体如下： </w:t>
      </w:r>
    </w:p>
    <w:p>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满足用户需求。随着产品品质的提高，用户不仅看重制冷陈列柜的基础功能，还更关注制冷陈列柜的质量稳定性、可靠性和多功能性，本标准编制过程充分考虑了用户的需求及提出的意见和建议。</w:t>
      </w:r>
    </w:p>
    <w:p>
      <w:pPr>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符合政策要求。当前政策对于卫生安全、环保节能的要求不断提高，制冷陈列柜产品应注重卫生安全和环保性，符合政策导向和要求。本标准对制冷陈列柜产品的耗电量、能效指数、噪声、安全、电磁兼容、限用物质、制冷剂类型、食品接触材料安全及抗菌等指标进行了考核。</w:t>
      </w:r>
    </w:p>
    <w:p>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适应产品发展需要</w:t>
      </w:r>
      <w:r>
        <w:rPr>
          <w:rFonts w:ascii="仿宋" w:hAnsi="仿宋" w:eastAsia="仿宋" w:cs="仿宋"/>
          <w:sz w:val="28"/>
          <w:szCs w:val="28"/>
          <w:lang w:eastAsia="zh-CN"/>
        </w:rPr>
        <w:t>。</w:t>
      </w:r>
      <w:r>
        <w:rPr>
          <w:rFonts w:hint="eastAsia" w:ascii="仿宋" w:hAnsi="仿宋" w:eastAsia="仿宋" w:cs="仿宋"/>
          <w:sz w:val="28"/>
          <w:szCs w:val="28"/>
          <w:lang w:eastAsia="zh-CN"/>
        </w:rPr>
        <w:t>制冷陈列柜属于较为成熟且又具有高技术含量和技术创新发展的产品，市场竞争激烈。为保证佛山地区制冷陈列柜产品的竞争优势，更好地扩大影响力，抢占国内外市场份额，需要打造更高水平的标准，比现有国家、行业标准的要求更高，把中高端制冷陈列柜做好做强。</w:t>
      </w:r>
    </w:p>
    <w:p>
      <w:pPr>
        <w:widowControl/>
        <w:numPr>
          <w:ilvl w:val="1"/>
          <w:numId w:val="7"/>
        </w:numPr>
        <w:spacing w:line="720" w:lineRule="auto"/>
        <w:rPr>
          <w:rFonts w:hint="eastAsia" w:ascii="黑体" w:hAnsi="宋体" w:eastAsia="黑体" w:cs="黑体"/>
          <w:sz w:val="28"/>
          <w:szCs w:val="28"/>
          <w:lang w:eastAsia="zh-CN"/>
        </w:rPr>
      </w:pPr>
      <w:r>
        <w:rPr>
          <w:rFonts w:hint="eastAsia" w:ascii="黑体" w:hAnsi="宋体" w:eastAsia="黑体" w:cs="黑体"/>
          <w:sz w:val="28"/>
          <w:szCs w:val="28"/>
          <w:lang w:eastAsia="zh-CN"/>
        </w:rPr>
        <w:t>项目意义</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为更好地发展佛山市重点产业、优势产品，本标准根据佛山标准要求，定位于“国内领先、国际先进”的水平，充分考虑行业发展情况，使标准编制更趋于合理、科学、先进。满足当前客户对制冷陈列柜的要求，提高产品国内外场竞争力，对行业健康、快速发展有促进和引领作用。执行本标准有助于提升产品质量水平，扩大品牌影响力，提高企业竞争力，带动和引领佛山市制造业向高水平领域发展，以实现我市产品质量水平明显提升，推动佛山品牌、佛山产品更好地走出去。</w:t>
      </w:r>
    </w:p>
    <w:p>
      <w:pPr>
        <w:widowControl/>
        <w:spacing w:line="720" w:lineRule="auto"/>
        <w:rPr>
          <w:sz w:val="28"/>
          <w:szCs w:val="28"/>
          <w:lang w:eastAsia="zh-CN"/>
        </w:rPr>
      </w:pPr>
      <w:r>
        <w:rPr>
          <w:rFonts w:hint="eastAsia" w:ascii="黑体" w:hAnsi="宋体" w:eastAsia="黑体" w:cs="黑体"/>
          <w:sz w:val="28"/>
          <w:szCs w:val="28"/>
          <w:lang w:eastAsia="zh-CN"/>
        </w:rPr>
        <w:t>2 标准制定工作概况</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2.1 准备工作</w:t>
      </w:r>
    </w:p>
    <w:p>
      <w:pPr>
        <w:widowControl/>
        <w:spacing w:line="360" w:lineRule="auto"/>
        <w:ind w:firstLine="560" w:firstLineChars="200"/>
        <w:jc w:val="both"/>
        <w:rPr>
          <w:rFonts w:ascii="仿宋" w:hAnsi="仿宋" w:eastAsia="仿宋" w:cs="仿宋"/>
          <w:sz w:val="28"/>
          <w:szCs w:val="28"/>
          <w:lang w:eastAsia="zh-CN"/>
        </w:rPr>
      </w:pPr>
      <w:bookmarkStart w:id="2" w:name="_Hlk130890499"/>
      <w:bookmarkStart w:id="3" w:name="_Hlk130890723"/>
      <w:r>
        <w:rPr>
          <w:rFonts w:hint="eastAsia" w:ascii="仿宋" w:hAnsi="仿宋" w:eastAsia="仿宋" w:cs="仿宋"/>
          <w:sz w:val="28"/>
          <w:szCs w:val="28"/>
          <w:lang w:eastAsia="zh-CN"/>
        </w:rPr>
        <w:t>根据佛山市市场监督管理局对佛山标准推进工作的计划和时间要求，在佛山市佛山标准与卓越绩效管理促进会的指导和管理下，为更好地开展编制工作，</w:t>
      </w:r>
      <w:r>
        <w:rPr>
          <w:rFonts w:hint="eastAsia" w:ascii="仿宋" w:hAnsi="仿宋" w:eastAsia="仿宋" w:cs="仿宋"/>
          <w:sz w:val="28"/>
          <w:szCs w:val="28"/>
          <w:lang w:val="en-US" w:eastAsia="zh-CN"/>
        </w:rPr>
        <w:t>广东星星制冷设备</w:t>
      </w:r>
      <w:r>
        <w:rPr>
          <w:rFonts w:hint="eastAsia" w:ascii="仿宋" w:hAnsi="仿宋" w:eastAsia="仿宋" w:cs="仿宋"/>
          <w:sz w:val="28"/>
          <w:szCs w:val="28"/>
          <w:lang w:eastAsia="zh-CN"/>
        </w:rPr>
        <w:t>有限公司、佛山市顺德区质量技术监督标准与编码所到访企业召开标准起草讨论会，成立了标准工作组。</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val="en-US" w:eastAsia="zh-CN"/>
        </w:rPr>
        <w:t>广东星星制冷设备</w:t>
      </w:r>
      <w:r>
        <w:rPr>
          <w:rFonts w:hint="eastAsia" w:ascii="仿宋" w:hAnsi="仿宋" w:eastAsia="仿宋" w:cs="仿宋"/>
          <w:sz w:val="28"/>
          <w:szCs w:val="28"/>
          <w:lang w:eastAsia="zh-CN"/>
        </w:rPr>
        <w:t>有限公司、佛山市顺德区质量技术监督标准与编码所主要</w:t>
      </w:r>
      <w:r>
        <w:rPr>
          <w:rFonts w:ascii="仿宋" w:hAnsi="仿宋" w:eastAsia="仿宋" w:cs="仿宋"/>
          <w:sz w:val="28"/>
          <w:szCs w:val="28"/>
          <w:lang w:eastAsia="zh-CN"/>
        </w:rPr>
        <w:t>负责</w:t>
      </w:r>
      <w:r>
        <w:rPr>
          <w:rFonts w:hint="eastAsia" w:ascii="仿宋" w:hAnsi="仿宋" w:eastAsia="仿宋" w:cs="仿宋"/>
          <w:sz w:val="28"/>
          <w:szCs w:val="28"/>
          <w:lang w:eastAsia="zh-CN"/>
        </w:rPr>
        <w:t>确定标准研制对应的产品类别，针对产品技术发展情况和用户痛点问题明确关键指标，</w:t>
      </w:r>
      <w:r>
        <w:rPr>
          <w:rFonts w:ascii="仿宋" w:hAnsi="仿宋" w:eastAsia="仿宋" w:cs="仿宋"/>
          <w:sz w:val="28"/>
          <w:szCs w:val="28"/>
          <w:lang w:eastAsia="zh-CN"/>
        </w:rPr>
        <w:t>收集企业现有产品技术性能参数，查阅国内外相关产品的技术文档、标准、专利，形成相关的标准集合。对比国内外等同类产品标准的有关条款，编制标准草案，组织</w:t>
      </w:r>
      <w:r>
        <w:rPr>
          <w:rFonts w:hint="eastAsia" w:ascii="仿宋" w:hAnsi="仿宋" w:eastAsia="仿宋" w:cs="仿宋"/>
          <w:sz w:val="28"/>
          <w:szCs w:val="28"/>
          <w:lang w:eastAsia="zh-CN"/>
        </w:rPr>
        <w:t>工作人员到企业现场核实验证指标，策划标准研讨、公开</w:t>
      </w:r>
      <w:r>
        <w:rPr>
          <w:rFonts w:ascii="仿宋" w:hAnsi="仿宋" w:eastAsia="仿宋" w:cs="仿宋"/>
          <w:sz w:val="28"/>
          <w:szCs w:val="28"/>
          <w:lang w:eastAsia="zh-CN"/>
        </w:rPr>
        <w:t>征求标准意见等</w:t>
      </w:r>
      <w:r>
        <w:rPr>
          <w:rFonts w:hint="eastAsia" w:ascii="仿宋" w:hAnsi="仿宋" w:eastAsia="仿宋" w:cs="仿宋"/>
          <w:sz w:val="28"/>
          <w:szCs w:val="28"/>
          <w:lang w:eastAsia="zh-CN"/>
        </w:rPr>
        <w:t>前期准备工作。并根据相关工作内容安排了工作计划，大致内容如下：</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1）</w:t>
      </w:r>
      <w:r>
        <w:rPr>
          <w:rFonts w:ascii="仿宋" w:hAnsi="仿宋" w:eastAsia="仿宋" w:cs="仿宋"/>
          <w:sz w:val="28"/>
          <w:szCs w:val="28"/>
          <w:lang w:eastAsia="zh-CN"/>
        </w:rPr>
        <w:t>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月调研与前期准备阶段：完成行业调研和相关标准、用户痛点问题的收集整理，并组织到访</w:t>
      </w:r>
      <w:r>
        <w:rPr>
          <w:rFonts w:hint="eastAsia" w:ascii="仿宋" w:hAnsi="仿宋" w:eastAsia="仿宋" w:cs="仿宋"/>
          <w:sz w:val="28"/>
          <w:szCs w:val="28"/>
          <w:lang w:val="en-US" w:eastAsia="zh-CN"/>
        </w:rPr>
        <w:t>广东星星制冷设备</w:t>
      </w:r>
      <w:r>
        <w:rPr>
          <w:rFonts w:hint="eastAsia" w:ascii="仿宋" w:hAnsi="仿宋" w:eastAsia="仿宋" w:cs="仿宋"/>
          <w:sz w:val="28"/>
          <w:szCs w:val="28"/>
          <w:lang w:eastAsia="zh-CN"/>
        </w:rPr>
        <w:t>有限公司；</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2）</w:t>
      </w:r>
      <w:r>
        <w:rPr>
          <w:rFonts w:ascii="仿宋" w:hAnsi="仿宋" w:eastAsia="仿宋" w:cs="仿宋"/>
          <w:sz w:val="28"/>
          <w:szCs w:val="28"/>
          <w:lang w:eastAsia="zh-CN"/>
        </w:rPr>
        <w:t>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月标准起草阶段：编写标准草案（工作组讨论稿）、编写标准编制说明；</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3）202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4</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6</w:t>
      </w:r>
      <w:r>
        <w:rPr>
          <w:rFonts w:hint="eastAsia" w:ascii="仿宋" w:hAnsi="仿宋" w:eastAsia="仿宋" w:cs="仿宋"/>
          <w:sz w:val="28"/>
          <w:szCs w:val="28"/>
          <w:lang w:eastAsia="zh-CN"/>
        </w:rPr>
        <w:t>月研讨与征求意见阶段：组织标准讨论工作群及现场沟通，并征求工作组和行业协会、专家意见，完成标准送审稿及其他评审材料；</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4）202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7</w:t>
      </w:r>
      <w:r>
        <w:rPr>
          <w:rFonts w:hint="eastAsia" w:ascii="仿宋" w:hAnsi="仿宋" w:eastAsia="仿宋" w:cs="仿宋"/>
          <w:sz w:val="28"/>
          <w:szCs w:val="28"/>
          <w:lang w:eastAsia="zh-CN"/>
        </w:rPr>
        <w:t>月评审与发布阶段：组织召开标准评审会，根据专家意见，修改完善形成标准报批稿并发布。</w:t>
      </w:r>
      <w:bookmarkEnd w:id="2"/>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2.2  标准草案编制</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于202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月启动标准草案研制工作，结合前期准备工作成果，征求起草单位意见，充分考虑佛山标准的编制要求、编制理念和定位要求等，体现了标准的先进性。具体说明如下：</w:t>
      </w:r>
    </w:p>
    <w:p>
      <w:pPr>
        <w:widowControl/>
        <w:numPr>
          <w:ilvl w:val="0"/>
          <w:numId w:val="8"/>
        </w:numPr>
        <w:spacing w:line="360" w:lineRule="auto"/>
        <w:ind w:firstLine="560" w:firstLineChars="200"/>
        <w:jc w:val="both"/>
        <w:rPr>
          <w:rFonts w:ascii="仿宋" w:hAnsi="仿宋" w:eastAsia="仿宋" w:cs="仿宋"/>
          <w:sz w:val="28"/>
          <w:szCs w:val="28"/>
          <w:lang w:eastAsia="zh-CN"/>
        </w:rPr>
      </w:pPr>
      <w:bookmarkStart w:id="4" w:name="_Hlk130891623"/>
      <w:r>
        <w:rPr>
          <w:rFonts w:hint="eastAsia" w:ascii="仿宋" w:hAnsi="仿宋" w:eastAsia="仿宋" w:cs="仿宋"/>
          <w:sz w:val="28"/>
          <w:szCs w:val="28"/>
          <w:lang w:eastAsia="zh-CN"/>
        </w:rPr>
        <w:t>优化基础指标，提升关键指标</w:t>
      </w:r>
      <w:bookmarkEnd w:id="4"/>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结合相关标准及信息收集、分析、比对，主要在国家标准的基础上，对启动、耗电量、能效指数、噪声等指标进行提升，主要是为进一步保证产品稳定性、可靠性和节能性环保性和卫生安全性。</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2</w:t>
      </w:r>
      <w:r>
        <w:rPr>
          <w:rFonts w:hint="eastAsia" w:ascii="仿宋" w:hAnsi="仿宋" w:eastAsia="仿宋" w:cs="仿宋"/>
          <w:sz w:val="28"/>
          <w:szCs w:val="28"/>
          <w:lang w:eastAsia="zh-CN"/>
        </w:rPr>
        <w:t>）新增指标</w:t>
      </w:r>
    </w:p>
    <w:p>
      <w:pPr>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结合消费者意见反馈、行业相关数据收集，在国家标准的基础上，新增了制冷剂类型、限用物质、食品接触材料安全、抗菌、智能化等指标，主要是为进一步体现产品的安全卫生性和绿色环保性。</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3</w:t>
      </w:r>
      <w:r>
        <w:rPr>
          <w:rFonts w:hint="eastAsia" w:ascii="仿宋" w:hAnsi="仿宋" w:eastAsia="仿宋" w:cs="仿宋"/>
          <w:sz w:val="28"/>
          <w:szCs w:val="28"/>
          <w:lang w:eastAsia="zh-CN"/>
        </w:rPr>
        <w:t>）规定试验方法</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参照相关国家标准、行业标准，规定了试验方法。</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2.3  标准草案研讨</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于202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4</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月组织了企业代表召开了线上线下标准讨论会、微信群内、电话讨论及企业现场讨论等方式，讨论主要内容如下：</w:t>
      </w:r>
    </w:p>
    <w:p>
      <w:pPr>
        <w:widowControl/>
        <w:numPr>
          <w:ilvl w:val="0"/>
          <w:numId w:val="9"/>
        </w:num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讨论了指标优化和提升的可行性</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针对标准草案中指标分类及提升哪几项关键指标等问题，企业代表一致认为可行，并逐一确认标准草案中提升的各个指标项。对于目前客户关注的耗电量、能效指数、噪声、安全、电磁兼容、限用物质、制冷剂类型、食品接触材料安全、可再生利用率及抗菌、智能化等指标，企业代表结合最近几年的检测数据和经验积累，给出了专业性的调整建议。</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2</w:t>
      </w:r>
      <w:r>
        <w:rPr>
          <w:rFonts w:hint="eastAsia" w:ascii="仿宋" w:hAnsi="仿宋" w:eastAsia="仿宋" w:cs="仿宋"/>
          <w:sz w:val="28"/>
          <w:szCs w:val="28"/>
          <w:lang w:eastAsia="zh-CN"/>
        </w:rPr>
        <w:t>）讨论了指标新增的合理性</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针对标准草案中增加的限用物质、制冷剂类型、食品接触材料安全、抗菌、智能化等相关指标，确认符合产品趋势、国家产业政策要求及市场导向，属合理增加项。</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3）调整了部分试验方法</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针对标准草案中的试验方法，提出了个别试验方法需要更新和调整，并对此给出了补充和修正的建议。</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2.4  征求意见情况</w:t>
      </w:r>
    </w:p>
    <w:p>
      <w:pPr>
        <w:widowControl/>
        <w:spacing w:line="360" w:lineRule="auto"/>
        <w:ind w:firstLine="560" w:firstLineChars="200"/>
        <w:rPr>
          <w:rFonts w:ascii="仿宋" w:hAnsi="仿宋" w:eastAsia="仿宋" w:cs="仿宋"/>
          <w:color w:val="FF0000"/>
          <w:sz w:val="28"/>
          <w:szCs w:val="28"/>
          <w:lang w:eastAsia="zh-CN"/>
        </w:rPr>
      </w:pPr>
      <w:r>
        <w:rPr>
          <w:rFonts w:hint="eastAsia" w:ascii="仿宋" w:hAnsi="仿宋" w:eastAsia="仿宋" w:cs="仿宋"/>
          <w:color w:val="FF0000"/>
          <w:sz w:val="28"/>
          <w:szCs w:val="28"/>
          <w:lang w:eastAsia="zh-CN"/>
        </w:rPr>
        <w:t>标准研讨会议后，对标准进行了修改，并于</w:t>
      </w:r>
      <w:r>
        <w:rPr>
          <w:rFonts w:hint="eastAsia" w:ascii="仿宋" w:hAnsi="仿宋" w:eastAsia="仿宋" w:cs="仿宋"/>
          <w:color w:val="FF0000"/>
          <w:sz w:val="28"/>
          <w:szCs w:val="28"/>
          <w:lang w:val="en-US" w:eastAsia="zh-CN"/>
        </w:rPr>
        <w:t>2025年XX月XX日开始</w:t>
      </w:r>
      <w:r>
        <w:rPr>
          <w:rFonts w:hint="eastAsia" w:ascii="仿宋" w:hAnsi="仿宋" w:eastAsia="仿宋" w:cs="仿宋"/>
          <w:color w:val="FF0000"/>
          <w:sz w:val="28"/>
          <w:szCs w:val="28"/>
          <w:lang w:eastAsia="zh-CN"/>
        </w:rPr>
        <w:t>在佛山标准公共平台及团体标准公共服务平台进行公开征求意见。征求意见过程中收到意见</w:t>
      </w:r>
      <w:r>
        <w:rPr>
          <w:rFonts w:hint="eastAsia" w:ascii="仿宋" w:hAnsi="仿宋" w:eastAsia="仿宋" w:cs="仿宋"/>
          <w:color w:val="FF0000"/>
          <w:sz w:val="28"/>
          <w:szCs w:val="28"/>
          <w:lang w:val="en-US" w:eastAsia="zh-CN"/>
        </w:rPr>
        <w:t xml:space="preserve">  条</w:t>
      </w:r>
      <w:r>
        <w:rPr>
          <w:rFonts w:hint="eastAsia" w:ascii="仿宋" w:hAnsi="仿宋" w:eastAsia="仿宋" w:cs="仿宋"/>
          <w:color w:val="FF0000"/>
          <w:sz w:val="28"/>
          <w:szCs w:val="28"/>
          <w:lang w:eastAsia="zh-CN"/>
        </w:rPr>
        <w:t>。</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2.5  重大分岐情况</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无</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2.6  专家评审情况</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于2</w:t>
      </w:r>
      <w:r>
        <w:rPr>
          <w:rFonts w:ascii="仿宋" w:hAnsi="仿宋" w:eastAsia="仿宋" w:cs="仿宋"/>
          <w:sz w:val="28"/>
          <w:szCs w:val="28"/>
          <w:lang w:eastAsia="zh-CN"/>
        </w:rPr>
        <w:t>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XX</w:t>
      </w:r>
      <w:r>
        <w:rPr>
          <w:rFonts w:hint="eastAsia" w:ascii="仿宋" w:hAnsi="仿宋" w:eastAsia="仿宋" w:cs="仿宋"/>
          <w:sz w:val="28"/>
          <w:szCs w:val="28"/>
          <w:lang w:eastAsia="zh-CN"/>
        </w:rPr>
        <w:t>月</w:t>
      </w:r>
      <w:r>
        <w:rPr>
          <w:rFonts w:hint="eastAsia" w:ascii="仿宋" w:hAnsi="仿宋" w:eastAsia="仿宋" w:cs="仿宋"/>
          <w:sz w:val="28"/>
          <w:szCs w:val="28"/>
          <w:lang w:val="en-US" w:eastAsia="zh-CN"/>
        </w:rPr>
        <w:t>XX</w:t>
      </w:r>
      <w:r>
        <w:rPr>
          <w:rFonts w:hint="eastAsia" w:ascii="仿宋" w:hAnsi="仿宋" w:eastAsia="仿宋" w:cs="仿宋"/>
          <w:sz w:val="28"/>
          <w:szCs w:val="28"/>
          <w:lang w:eastAsia="zh-CN"/>
        </w:rPr>
        <w:t>日，佛山市佛山标准与卓越绩效管理促进会组织专家召开了标准定会，专家组听取了编制组的汇报，审阅了相关资料，对标准文本进行了认真、细致和充分的讨论。最后，专家组认为该标准达到国内领先水平，</w:t>
      </w:r>
      <w:r>
        <w:rPr>
          <w:rFonts w:ascii="仿宋" w:hAnsi="仿宋" w:eastAsia="仿宋" w:cs="仿宋"/>
          <w:sz w:val="28"/>
          <w:szCs w:val="28"/>
          <w:lang w:eastAsia="zh-CN"/>
        </w:rPr>
        <w:t>一致</w:t>
      </w:r>
      <w:r>
        <w:rPr>
          <w:rFonts w:hint="eastAsia" w:ascii="仿宋" w:hAnsi="仿宋" w:eastAsia="仿宋" w:cs="仿宋"/>
          <w:sz w:val="28"/>
          <w:szCs w:val="28"/>
          <w:lang w:eastAsia="zh-CN"/>
        </w:rPr>
        <w:t>同意标准</w:t>
      </w:r>
      <w:r>
        <w:rPr>
          <w:rFonts w:ascii="仿宋" w:hAnsi="仿宋" w:eastAsia="仿宋" w:cs="仿宋"/>
          <w:sz w:val="28"/>
          <w:szCs w:val="28"/>
          <w:lang w:eastAsia="zh-CN"/>
        </w:rPr>
        <w:t>通过</w:t>
      </w:r>
      <w:r>
        <w:rPr>
          <w:rFonts w:hint="eastAsia" w:ascii="仿宋" w:hAnsi="仿宋" w:eastAsia="仿宋" w:cs="仿宋"/>
          <w:sz w:val="28"/>
          <w:szCs w:val="28"/>
          <w:lang w:eastAsia="zh-CN"/>
        </w:rPr>
        <w:t>审定。</w:t>
      </w:r>
    </w:p>
    <w:bookmarkEnd w:id="3"/>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3  标准编制原则、主要内容及确定依据</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3.1  编制原则</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标准编制遵循</w:t>
      </w:r>
      <w:r>
        <w:rPr>
          <w:rFonts w:hint="eastAsia" w:ascii="仿宋" w:hAnsi="仿宋" w:eastAsia="仿宋" w:cs="仿宋"/>
          <w:sz w:val="28"/>
          <w:szCs w:val="28"/>
          <w:lang w:eastAsia="zh-CN"/>
        </w:rPr>
        <w:t>合规性、科学性、先进性、适用性并协调一致</w:t>
      </w:r>
      <w:r>
        <w:rPr>
          <w:rFonts w:ascii="仿宋" w:hAnsi="仿宋" w:eastAsia="仿宋" w:cs="仿宋"/>
          <w:sz w:val="28"/>
          <w:szCs w:val="28"/>
          <w:lang w:eastAsia="zh-CN"/>
        </w:rPr>
        <w:t>的原则，尽可能与国际通行标准接轨，注重标准的可操作性，本标准严格按照GB/T 1.1-2020《标准化工作导则 第1部分：标准化文件的结构和起草规则》的规定进行编写和表述。</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3.2  主要参考依据</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 xml:space="preserve">GB/T 2828.1  </w:t>
      </w:r>
      <w:r>
        <w:rPr>
          <w:rFonts w:hint="eastAsia" w:ascii="仿宋" w:hAnsi="仿宋" w:eastAsia="仿宋" w:cs="仿宋"/>
          <w:sz w:val="24"/>
          <w:szCs w:val="24"/>
          <w:lang w:eastAsia="zh-CN"/>
        </w:rPr>
        <w:t>计数抽样检验程序</w:t>
      </w:r>
      <w:r>
        <w:rPr>
          <w:rFonts w:ascii="仿宋" w:hAnsi="仿宋" w:eastAsia="仿宋" w:cs="仿宋"/>
          <w:sz w:val="24"/>
          <w:szCs w:val="24"/>
          <w:lang w:eastAsia="zh-CN"/>
        </w:rPr>
        <w:t xml:space="preserve"> </w:t>
      </w:r>
      <w:r>
        <w:rPr>
          <w:rFonts w:hint="eastAsia" w:ascii="仿宋" w:hAnsi="仿宋" w:eastAsia="仿宋" w:cs="仿宋"/>
          <w:sz w:val="24"/>
          <w:szCs w:val="24"/>
          <w:lang w:eastAsia="zh-CN"/>
        </w:rPr>
        <w:t>第</w:t>
      </w:r>
      <w:r>
        <w:rPr>
          <w:rFonts w:ascii="仿宋" w:hAnsi="仿宋" w:eastAsia="仿宋" w:cs="仿宋"/>
          <w:sz w:val="24"/>
          <w:szCs w:val="24"/>
          <w:lang w:eastAsia="zh-CN"/>
        </w:rPr>
        <w:t>1</w:t>
      </w:r>
      <w:r>
        <w:rPr>
          <w:rFonts w:hint="eastAsia" w:ascii="仿宋" w:hAnsi="仿宋" w:eastAsia="仿宋" w:cs="仿宋"/>
          <w:sz w:val="24"/>
          <w:szCs w:val="24"/>
          <w:lang w:eastAsia="zh-CN"/>
        </w:rPr>
        <w:t>部分：按接收质量限</w:t>
      </w:r>
      <w:r>
        <w:rPr>
          <w:rFonts w:ascii="仿宋" w:hAnsi="仿宋" w:eastAsia="仿宋" w:cs="仿宋"/>
          <w:sz w:val="24"/>
          <w:szCs w:val="24"/>
          <w:lang w:eastAsia="zh-CN"/>
        </w:rPr>
        <w:t>(AQL)</w:t>
      </w:r>
      <w:r>
        <w:rPr>
          <w:rFonts w:hint="eastAsia" w:ascii="仿宋" w:hAnsi="仿宋" w:eastAsia="仿宋" w:cs="仿宋"/>
          <w:sz w:val="24"/>
          <w:szCs w:val="24"/>
          <w:lang w:eastAsia="zh-CN"/>
        </w:rPr>
        <w:t>检索的逐批检验抽样计划</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GB/T 2829</w:t>
      </w:r>
      <w:r>
        <w:rPr>
          <w:rFonts w:hint="eastAsia" w:ascii="仿宋" w:hAnsi="仿宋" w:eastAsia="仿宋" w:cs="仿宋"/>
          <w:sz w:val="24"/>
          <w:szCs w:val="24"/>
          <w:lang w:eastAsia="zh-CN"/>
        </w:rPr>
        <w:t>—</w:t>
      </w:r>
      <w:r>
        <w:rPr>
          <w:rFonts w:ascii="仿宋" w:hAnsi="仿宋" w:eastAsia="仿宋" w:cs="仿宋"/>
          <w:sz w:val="24"/>
          <w:szCs w:val="24"/>
          <w:lang w:eastAsia="zh-CN"/>
        </w:rPr>
        <w:t xml:space="preserve">2002  </w:t>
      </w:r>
      <w:r>
        <w:rPr>
          <w:rFonts w:hint="eastAsia" w:ascii="仿宋" w:hAnsi="仿宋" w:eastAsia="仿宋" w:cs="仿宋"/>
          <w:sz w:val="24"/>
          <w:szCs w:val="24"/>
          <w:lang w:eastAsia="zh-CN"/>
        </w:rPr>
        <w:t>周期检验计数抽样程序及表（适用于对过程稳定性的检验）</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 xml:space="preserve">GB 4343.1  </w:t>
      </w:r>
      <w:r>
        <w:rPr>
          <w:rFonts w:hint="eastAsia" w:ascii="仿宋" w:hAnsi="仿宋" w:eastAsia="仿宋" w:cs="仿宋"/>
          <w:sz w:val="24"/>
          <w:szCs w:val="24"/>
          <w:lang w:eastAsia="zh-CN"/>
        </w:rPr>
        <w:t>家用电器、电动工具和类似器具的电磁兼容要求</w:t>
      </w:r>
      <w:r>
        <w:rPr>
          <w:rFonts w:ascii="仿宋" w:hAnsi="仿宋" w:eastAsia="仿宋" w:cs="仿宋"/>
          <w:sz w:val="24"/>
          <w:szCs w:val="24"/>
          <w:lang w:eastAsia="zh-CN"/>
        </w:rPr>
        <w:t xml:space="preserve">  </w:t>
      </w:r>
      <w:r>
        <w:rPr>
          <w:rFonts w:hint="eastAsia" w:ascii="仿宋" w:hAnsi="仿宋" w:eastAsia="仿宋" w:cs="仿宋"/>
          <w:sz w:val="24"/>
          <w:szCs w:val="24"/>
          <w:lang w:eastAsia="zh-CN"/>
        </w:rPr>
        <w:t>第</w:t>
      </w:r>
      <w:r>
        <w:rPr>
          <w:rFonts w:ascii="仿宋" w:hAnsi="仿宋" w:eastAsia="仿宋" w:cs="仿宋"/>
          <w:sz w:val="24"/>
          <w:szCs w:val="24"/>
          <w:lang w:eastAsia="zh-CN"/>
        </w:rPr>
        <w:t>l</w:t>
      </w:r>
      <w:r>
        <w:rPr>
          <w:rFonts w:hint="eastAsia" w:ascii="仿宋" w:hAnsi="仿宋" w:eastAsia="仿宋" w:cs="仿宋"/>
          <w:sz w:val="24"/>
          <w:szCs w:val="24"/>
          <w:lang w:eastAsia="zh-CN"/>
        </w:rPr>
        <w:t>部分：发射</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 xml:space="preserve">GB/T 4343.2  </w:t>
      </w:r>
      <w:r>
        <w:rPr>
          <w:rFonts w:hint="eastAsia" w:ascii="仿宋" w:hAnsi="仿宋" w:eastAsia="仿宋" w:cs="仿宋"/>
          <w:sz w:val="24"/>
          <w:szCs w:val="24"/>
          <w:lang w:eastAsia="zh-CN"/>
        </w:rPr>
        <w:t>家用电器、电动工具和类似器具的电磁兼容要求</w:t>
      </w:r>
      <w:r>
        <w:rPr>
          <w:rFonts w:ascii="仿宋" w:hAnsi="仿宋" w:eastAsia="仿宋" w:cs="仿宋"/>
          <w:sz w:val="24"/>
          <w:szCs w:val="24"/>
          <w:lang w:eastAsia="zh-CN"/>
        </w:rPr>
        <w:t xml:space="preserve"> </w:t>
      </w:r>
      <w:r>
        <w:rPr>
          <w:rFonts w:hint="eastAsia" w:ascii="仿宋" w:hAnsi="仿宋" w:eastAsia="仿宋" w:cs="仿宋"/>
          <w:sz w:val="24"/>
          <w:szCs w:val="24"/>
          <w:lang w:eastAsia="zh-CN"/>
        </w:rPr>
        <w:t>第</w:t>
      </w:r>
      <w:r>
        <w:rPr>
          <w:rFonts w:ascii="仿宋" w:hAnsi="仿宋" w:eastAsia="仿宋" w:cs="仿宋"/>
          <w:sz w:val="24"/>
          <w:szCs w:val="24"/>
          <w:lang w:eastAsia="zh-CN"/>
        </w:rPr>
        <w:t>2</w:t>
      </w:r>
      <w:r>
        <w:rPr>
          <w:rFonts w:hint="eastAsia" w:ascii="仿宋" w:hAnsi="仿宋" w:eastAsia="仿宋" w:cs="仿宋"/>
          <w:sz w:val="24"/>
          <w:szCs w:val="24"/>
          <w:lang w:eastAsia="zh-CN"/>
        </w:rPr>
        <w:t>部分：抗扰度</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 xml:space="preserve">GB 4706.1  </w:t>
      </w:r>
      <w:r>
        <w:rPr>
          <w:rFonts w:hint="eastAsia" w:ascii="仿宋" w:hAnsi="仿宋" w:eastAsia="仿宋" w:cs="仿宋"/>
          <w:sz w:val="24"/>
          <w:szCs w:val="24"/>
          <w:lang w:eastAsia="zh-CN"/>
        </w:rPr>
        <w:t>家用和类似用途电器的安全</w:t>
      </w:r>
      <w:r>
        <w:rPr>
          <w:rFonts w:ascii="仿宋" w:hAnsi="仿宋" w:eastAsia="仿宋" w:cs="仿宋"/>
          <w:sz w:val="24"/>
          <w:szCs w:val="24"/>
          <w:lang w:eastAsia="zh-CN"/>
        </w:rPr>
        <w:t xml:space="preserve">  </w:t>
      </w:r>
      <w:r>
        <w:rPr>
          <w:rFonts w:hint="eastAsia" w:ascii="仿宋" w:hAnsi="仿宋" w:eastAsia="仿宋" w:cs="仿宋"/>
          <w:sz w:val="24"/>
          <w:szCs w:val="24"/>
          <w:lang w:eastAsia="zh-CN"/>
        </w:rPr>
        <w:t>第</w:t>
      </w:r>
      <w:r>
        <w:rPr>
          <w:rFonts w:ascii="仿宋" w:hAnsi="仿宋" w:eastAsia="仿宋" w:cs="仿宋"/>
          <w:sz w:val="24"/>
          <w:szCs w:val="24"/>
          <w:lang w:eastAsia="zh-CN"/>
        </w:rPr>
        <w:t>l</w:t>
      </w:r>
      <w:r>
        <w:rPr>
          <w:rFonts w:hint="eastAsia" w:ascii="仿宋" w:hAnsi="仿宋" w:eastAsia="仿宋" w:cs="仿宋"/>
          <w:sz w:val="24"/>
          <w:szCs w:val="24"/>
          <w:lang w:eastAsia="zh-CN"/>
        </w:rPr>
        <w:t>部分：通用要求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 xml:space="preserve">GB 4706.102  </w:t>
      </w:r>
      <w:r>
        <w:rPr>
          <w:rFonts w:hint="eastAsia" w:ascii="仿宋" w:hAnsi="仿宋" w:eastAsia="仿宋" w:cs="仿宋"/>
          <w:sz w:val="24"/>
          <w:szCs w:val="24"/>
          <w:lang w:eastAsia="zh-CN"/>
        </w:rPr>
        <w:t>家用和类似用途电器的安全带嵌装或远置式制冷剂冷凝装置或压缩机的商用制冷器具的特殊要求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GB 4806.1  食品安全国家标准</w:t>
      </w:r>
      <w:r>
        <w:rPr>
          <w:rFonts w:hint="eastAsia" w:ascii="仿宋" w:hAnsi="仿宋" w:eastAsia="仿宋" w:cs="仿宋"/>
          <w:sz w:val="24"/>
          <w:szCs w:val="24"/>
          <w:lang w:eastAsia="zh-CN"/>
        </w:rPr>
        <w:t xml:space="preserve"> </w:t>
      </w:r>
      <w:r>
        <w:rPr>
          <w:rFonts w:ascii="仿宋" w:hAnsi="仿宋" w:eastAsia="仿宋" w:cs="仿宋"/>
          <w:sz w:val="24"/>
          <w:szCs w:val="24"/>
          <w:lang w:eastAsia="zh-CN"/>
        </w:rPr>
        <w:t>食品接触材料及制品通用安全要求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hint="eastAsia" w:ascii="仿宋" w:hAnsi="仿宋" w:eastAsia="仿宋" w:cs="仿宋"/>
          <w:sz w:val="24"/>
          <w:szCs w:val="24"/>
          <w:lang w:eastAsia="zh-CN"/>
        </w:rPr>
        <w:t>GB 4806.5  玻璃制品</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hint="eastAsia" w:ascii="仿宋" w:hAnsi="仿宋" w:eastAsia="仿宋" w:cs="仿宋"/>
          <w:sz w:val="24"/>
          <w:szCs w:val="24"/>
          <w:lang w:eastAsia="zh-CN"/>
        </w:rPr>
        <w:t>GB 4806.7  食品安全国家标准 食品接触用塑料材料及制品</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GB 4806.9  食品安全国家标准</w:t>
      </w:r>
      <w:r>
        <w:rPr>
          <w:rFonts w:hint="eastAsia" w:ascii="仿宋" w:hAnsi="仿宋" w:eastAsia="仿宋" w:cs="仿宋"/>
          <w:sz w:val="24"/>
          <w:szCs w:val="24"/>
          <w:lang w:eastAsia="zh-CN"/>
        </w:rPr>
        <w:t xml:space="preserve"> </w:t>
      </w:r>
      <w:r>
        <w:rPr>
          <w:rFonts w:ascii="仿宋" w:hAnsi="仿宋" w:eastAsia="仿宋" w:cs="仿宋"/>
          <w:sz w:val="24"/>
          <w:szCs w:val="24"/>
          <w:lang w:eastAsia="zh-CN"/>
        </w:rPr>
        <w:t>食品接触用金属材料及制品</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hint="eastAsia" w:ascii="仿宋" w:hAnsi="仿宋" w:eastAsia="仿宋" w:cs="仿宋"/>
          <w:sz w:val="24"/>
          <w:szCs w:val="24"/>
          <w:lang w:eastAsia="zh-CN"/>
        </w:rPr>
        <w:t>GB 4806.10  食品接触用涂料及涂层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 xml:space="preserve">GB 17625.1  </w:t>
      </w:r>
      <w:r>
        <w:rPr>
          <w:rFonts w:hint="eastAsia" w:ascii="仿宋" w:hAnsi="仿宋" w:eastAsia="仿宋" w:cs="仿宋"/>
          <w:sz w:val="24"/>
          <w:szCs w:val="24"/>
          <w:lang w:eastAsia="zh-CN"/>
        </w:rPr>
        <w:t>电磁兼容</w:t>
      </w:r>
      <w:r>
        <w:rPr>
          <w:rFonts w:ascii="仿宋" w:hAnsi="仿宋" w:eastAsia="仿宋" w:cs="仿宋"/>
          <w:sz w:val="24"/>
          <w:szCs w:val="24"/>
          <w:lang w:eastAsia="zh-CN"/>
        </w:rPr>
        <w:t xml:space="preserve"> </w:t>
      </w:r>
      <w:r>
        <w:rPr>
          <w:rFonts w:hint="eastAsia" w:ascii="仿宋" w:hAnsi="仿宋" w:eastAsia="仿宋" w:cs="仿宋"/>
          <w:sz w:val="24"/>
          <w:szCs w:val="24"/>
          <w:lang w:eastAsia="zh-CN"/>
        </w:rPr>
        <w:t>限值</w:t>
      </w:r>
      <w:r>
        <w:rPr>
          <w:rFonts w:ascii="仿宋" w:hAnsi="仿宋" w:eastAsia="仿宋" w:cs="仿宋"/>
          <w:sz w:val="24"/>
          <w:szCs w:val="24"/>
          <w:lang w:eastAsia="zh-CN"/>
        </w:rPr>
        <w:t xml:space="preserve"> </w:t>
      </w:r>
      <w:r>
        <w:rPr>
          <w:rFonts w:hint="eastAsia" w:ascii="仿宋" w:hAnsi="仿宋" w:eastAsia="仿宋" w:cs="仿宋"/>
          <w:sz w:val="24"/>
          <w:szCs w:val="24"/>
          <w:lang w:eastAsia="zh-CN"/>
        </w:rPr>
        <w:t>谐波电流发射限值</w:t>
      </w:r>
      <w:r>
        <w:rPr>
          <w:rFonts w:ascii="仿宋" w:hAnsi="仿宋" w:eastAsia="仿宋" w:cs="仿宋"/>
          <w:sz w:val="24"/>
          <w:szCs w:val="24"/>
          <w:lang w:eastAsia="zh-CN"/>
        </w:rPr>
        <w:t>(</w:t>
      </w:r>
      <w:r>
        <w:rPr>
          <w:rFonts w:hint="eastAsia" w:ascii="仿宋" w:hAnsi="仿宋" w:eastAsia="仿宋" w:cs="仿宋"/>
          <w:sz w:val="24"/>
          <w:szCs w:val="24"/>
          <w:lang w:eastAsia="zh-CN"/>
        </w:rPr>
        <w:t>设备每相输入电流≤</w:t>
      </w:r>
      <w:r>
        <w:rPr>
          <w:rFonts w:ascii="仿宋" w:hAnsi="仿宋" w:eastAsia="仿宋" w:cs="仿宋"/>
          <w:sz w:val="24"/>
          <w:szCs w:val="24"/>
          <w:lang w:eastAsia="zh-CN"/>
        </w:rPr>
        <w:t>16A)</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GB/T 21001.1</w:t>
      </w:r>
      <w:r>
        <w:rPr>
          <w:rFonts w:hint="eastAsia" w:ascii="仿宋" w:hAnsi="仿宋" w:eastAsia="仿宋" w:cs="仿宋"/>
          <w:sz w:val="24"/>
          <w:szCs w:val="24"/>
          <w:lang w:eastAsia="zh-CN"/>
        </w:rPr>
        <w:t>—</w:t>
      </w:r>
      <w:r>
        <w:rPr>
          <w:rFonts w:ascii="仿宋" w:hAnsi="仿宋" w:eastAsia="仿宋" w:cs="仿宋"/>
          <w:sz w:val="24"/>
          <w:szCs w:val="24"/>
          <w:lang w:eastAsia="zh-CN"/>
        </w:rPr>
        <w:t xml:space="preserve">2015  </w:t>
      </w:r>
      <w:r>
        <w:rPr>
          <w:rFonts w:hint="eastAsia" w:ascii="仿宋" w:hAnsi="仿宋" w:eastAsia="仿宋" w:cs="仿宋"/>
          <w:sz w:val="24"/>
          <w:szCs w:val="24"/>
          <w:lang w:eastAsia="zh-CN"/>
        </w:rPr>
        <w:t>制冷陈列柜</w:t>
      </w:r>
      <w:r>
        <w:rPr>
          <w:rFonts w:ascii="仿宋" w:hAnsi="仿宋" w:eastAsia="仿宋" w:cs="仿宋"/>
          <w:sz w:val="24"/>
          <w:szCs w:val="24"/>
          <w:lang w:eastAsia="zh-CN"/>
        </w:rPr>
        <w:t xml:space="preserve"> </w:t>
      </w:r>
      <w:r>
        <w:rPr>
          <w:rFonts w:hint="eastAsia" w:ascii="仿宋" w:hAnsi="仿宋" w:eastAsia="仿宋" w:cs="仿宋"/>
          <w:sz w:val="24"/>
          <w:szCs w:val="24"/>
          <w:lang w:eastAsia="zh-CN"/>
        </w:rPr>
        <w:t>第</w:t>
      </w:r>
      <w:r>
        <w:rPr>
          <w:rFonts w:ascii="仿宋" w:hAnsi="仿宋" w:eastAsia="仿宋" w:cs="仿宋"/>
          <w:sz w:val="24"/>
          <w:szCs w:val="24"/>
          <w:lang w:eastAsia="zh-CN"/>
        </w:rPr>
        <w:t>1</w:t>
      </w:r>
      <w:r>
        <w:rPr>
          <w:rFonts w:hint="eastAsia" w:ascii="仿宋" w:hAnsi="仿宋" w:eastAsia="仿宋" w:cs="仿宋"/>
          <w:sz w:val="24"/>
          <w:szCs w:val="24"/>
          <w:lang w:eastAsia="zh-CN"/>
        </w:rPr>
        <w:t>部分：术语</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GB/T 21001.2</w:t>
      </w:r>
      <w:r>
        <w:rPr>
          <w:rFonts w:hint="eastAsia" w:ascii="仿宋" w:hAnsi="仿宋" w:eastAsia="仿宋" w:cs="仿宋"/>
          <w:sz w:val="24"/>
          <w:szCs w:val="24"/>
          <w:lang w:eastAsia="zh-CN"/>
        </w:rPr>
        <w:t>—</w:t>
      </w:r>
      <w:r>
        <w:rPr>
          <w:rFonts w:ascii="仿宋" w:hAnsi="仿宋" w:eastAsia="仿宋" w:cs="仿宋"/>
          <w:sz w:val="24"/>
          <w:szCs w:val="24"/>
          <w:lang w:eastAsia="zh-CN"/>
        </w:rPr>
        <w:t xml:space="preserve">2015  </w:t>
      </w:r>
      <w:r>
        <w:rPr>
          <w:rFonts w:hint="eastAsia" w:ascii="仿宋" w:hAnsi="仿宋" w:eastAsia="仿宋" w:cs="仿宋"/>
          <w:sz w:val="24"/>
          <w:szCs w:val="24"/>
          <w:lang w:eastAsia="zh-CN"/>
        </w:rPr>
        <w:t>制冷陈列柜</w:t>
      </w:r>
      <w:r>
        <w:rPr>
          <w:rFonts w:ascii="仿宋" w:hAnsi="仿宋" w:eastAsia="仿宋" w:cs="仿宋"/>
          <w:sz w:val="24"/>
          <w:szCs w:val="24"/>
          <w:lang w:eastAsia="zh-CN"/>
        </w:rPr>
        <w:t xml:space="preserve"> </w:t>
      </w:r>
      <w:r>
        <w:rPr>
          <w:rFonts w:hint="eastAsia" w:ascii="仿宋" w:hAnsi="仿宋" w:eastAsia="仿宋" w:cs="仿宋"/>
          <w:sz w:val="24"/>
          <w:szCs w:val="24"/>
          <w:lang w:eastAsia="zh-CN"/>
        </w:rPr>
        <w:t>第</w:t>
      </w:r>
      <w:r>
        <w:rPr>
          <w:rFonts w:ascii="仿宋" w:hAnsi="仿宋" w:eastAsia="仿宋" w:cs="仿宋"/>
          <w:sz w:val="24"/>
          <w:szCs w:val="24"/>
          <w:lang w:eastAsia="zh-CN"/>
        </w:rPr>
        <w:t>2</w:t>
      </w:r>
      <w:r>
        <w:rPr>
          <w:rFonts w:hint="eastAsia" w:ascii="仿宋" w:hAnsi="仿宋" w:eastAsia="仿宋" w:cs="仿宋"/>
          <w:sz w:val="24"/>
          <w:szCs w:val="24"/>
          <w:lang w:eastAsia="zh-CN"/>
        </w:rPr>
        <w:t>部分：分类、要求和试验条件</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GB/T 21001.</w:t>
      </w:r>
      <w:r>
        <w:rPr>
          <w:rFonts w:hint="eastAsia" w:ascii="仿宋" w:hAnsi="仿宋" w:eastAsia="仿宋" w:cs="仿宋"/>
          <w:sz w:val="24"/>
          <w:szCs w:val="24"/>
          <w:lang w:eastAsia="zh-CN"/>
        </w:rPr>
        <w:t>3—</w:t>
      </w:r>
      <w:r>
        <w:rPr>
          <w:rFonts w:ascii="仿宋" w:hAnsi="仿宋" w:eastAsia="仿宋" w:cs="仿宋"/>
          <w:sz w:val="24"/>
          <w:szCs w:val="24"/>
          <w:lang w:eastAsia="zh-CN"/>
        </w:rPr>
        <w:t>2015</w:t>
      </w:r>
      <w:r>
        <w:rPr>
          <w:rFonts w:hint="eastAsia" w:ascii="仿宋" w:hAnsi="仿宋" w:eastAsia="仿宋" w:cs="仿宋"/>
          <w:sz w:val="24"/>
          <w:szCs w:val="24"/>
          <w:lang w:eastAsia="zh-CN"/>
        </w:rPr>
        <w:t xml:space="preserve">  制冷陈列柜 第3部分：试验评定</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 xml:space="preserve">GB 21551.1  </w:t>
      </w:r>
      <w:r>
        <w:rPr>
          <w:rFonts w:hint="eastAsia" w:ascii="仿宋" w:hAnsi="仿宋" w:eastAsia="仿宋" w:cs="仿宋"/>
          <w:sz w:val="24"/>
          <w:szCs w:val="24"/>
          <w:lang w:eastAsia="zh-CN"/>
        </w:rPr>
        <w:t>家用和类似用途电器的抗菌、除菌、净化功能通则</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 xml:space="preserve">GB 21551.2  </w:t>
      </w:r>
      <w:r>
        <w:rPr>
          <w:rFonts w:hint="eastAsia" w:ascii="仿宋" w:hAnsi="仿宋" w:eastAsia="仿宋" w:cs="仿宋"/>
          <w:sz w:val="24"/>
          <w:szCs w:val="24"/>
          <w:lang w:eastAsia="zh-CN"/>
        </w:rPr>
        <w:t>家用和类似用途电器的抗菌、除菌、净化功能抗菌材料的特殊要求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 xml:space="preserve">GB 21551.4  </w:t>
      </w:r>
      <w:r>
        <w:rPr>
          <w:rFonts w:hint="eastAsia" w:ascii="仿宋" w:hAnsi="仿宋" w:eastAsia="仿宋" w:cs="仿宋"/>
          <w:sz w:val="24"/>
          <w:szCs w:val="24"/>
          <w:lang w:eastAsia="zh-CN"/>
        </w:rPr>
        <w:t>家用和类似用途电器的抗菌、除菌、净化功能</w:t>
      </w:r>
      <w:r>
        <w:rPr>
          <w:rFonts w:ascii="仿宋" w:hAnsi="仿宋" w:eastAsia="仿宋" w:cs="仿宋"/>
          <w:sz w:val="24"/>
          <w:szCs w:val="24"/>
          <w:lang w:eastAsia="zh-CN"/>
        </w:rPr>
        <w:t xml:space="preserve"> </w:t>
      </w:r>
      <w:r>
        <w:rPr>
          <w:rFonts w:hint="eastAsia" w:ascii="仿宋" w:hAnsi="仿宋" w:eastAsia="仿宋" w:cs="仿宋"/>
          <w:sz w:val="24"/>
          <w:szCs w:val="24"/>
          <w:lang w:eastAsia="zh-CN"/>
        </w:rPr>
        <w:t>电冰箱的特殊要求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 xml:space="preserve">GB/T 26125  </w:t>
      </w:r>
      <w:r>
        <w:rPr>
          <w:rFonts w:hint="eastAsia" w:ascii="仿宋" w:hAnsi="仿宋" w:eastAsia="仿宋" w:cs="仿宋"/>
          <w:sz w:val="24"/>
          <w:szCs w:val="24"/>
          <w:lang w:eastAsia="zh-CN"/>
        </w:rPr>
        <w:t>电子电气产品</w:t>
      </w:r>
      <w:r>
        <w:rPr>
          <w:rFonts w:ascii="仿宋" w:hAnsi="仿宋" w:eastAsia="仿宋" w:cs="仿宋"/>
          <w:sz w:val="24"/>
          <w:szCs w:val="24"/>
          <w:lang w:eastAsia="zh-CN"/>
        </w:rPr>
        <w:t xml:space="preserve"> </w:t>
      </w:r>
      <w:r>
        <w:rPr>
          <w:rFonts w:hint="eastAsia" w:ascii="仿宋" w:hAnsi="仿宋" w:eastAsia="仿宋" w:cs="仿宋"/>
          <w:sz w:val="24"/>
          <w:szCs w:val="24"/>
          <w:lang w:eastAsia="zh-CN"/>
        </w:rPr>
        <w:t>六种限用物质（铅、汞、镉、六价铬、多溴联苯和多溴二苯醚）的测定</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 xml:space="preserve">GB/T 26572  </w:t>
      </w:r>
      <w:r>
        <w:rPr>
          <w:rFonts w:hint="eastAsia" w:ascii="仿宋" w:hAnsi="仿宋" w:eastAsia="仿宋" w:cs="仿宋"/>
          <w:sz w:val="24"/>
          <w:szCs w:val="24"/>
          <w:lang w:eastAsia="zh-CN"/>
        </w:rPr>
        <w:t>电子电气产品中限用物质的限量要求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ascii="仿宋" w:hAnsi="仿宋" w:eastAsia="仿宋" w:cs="仿宋"/>
          <w:sz w:val="24"/>
          <w:szCs w:val="24"/>
          <w:lang w:eastAsia="zh-CN"/>
        </w:rPr>
        <w:t xml:space="preserve">GB 26920.2  </w:t>
      </w:r>
      <w:r>
        <w:rPr>
          <w:rFonts w:hint="eastAsia" w:ascii="仿宋" w:hAnsi="仿宋" w:eastAsia="仿宋" w:cs="仿宋"/>
          <w:sz w:val="24"/>
          <w:szCs w:val="24"/>
          <w:lang w:eastAsia="zh-CN"/>
        </w:rPr>
        <w:t>商用制冷器具能效限定值及能效等级</w:t>
      </w:r>
      <w:r>
        <w:rPr>
          <w:rFonts w:ascii="仿宋" w:hAnsi="仿宋" w:eastAsia="仿宋" w:cs="仿宋"/>
          <w:sz w:val="24"/>
          <w:szCs w:val="24"/>
          <w:lang w:eastAsia="zh-CN"/>
        </w:rPr>
        <w:t xml:space="preserve">  </w:t>
      </w:r>
      <w:r>
        <w:rPr>
          <w:rFonts w:hint="eastAsia" w:ascii="仿宋" w:hAnsi="仿宋" w:eastAsia="仿宋" w:cs="仿宋"/>
          <w:sz w:val="24"/>
          <w:szCs w:val="24"/>
          <w:lang w:eastAsia="zh-CN"/>
        </w:rPr>
        <w:t>第</w:t>
      </w:r>
      <w:r>
        <w:rPr>
          <w:rFonts w:ascii="仿宋" w:hAnsi="仿宋" w:eastAsia="仿宋" w:cs="仿宋"/>
          <w:sz w:val="24"/>
          <w:szCs w:val="24"/>
          <w:lang w:eastAsia="zh-CN"/>
        </w:rPr>
        <w:t>2</w:t>
      </w:r>
      <w:r>
        <w:rPr>
          <w:rFonts w:hint="eastAsia" w:ascii="仿宋" w:hAnsi="仿宋" w:eastAsia="仿宋" w:cs="仿宋"/>
          <w:sz w:val="24"/>
          <w:szCs w:val="24"/>
          <w:lang w:eastAsia="zh-CN"/>
        </w:rPr>
        <w:t>部分：自携冷凝机组商用冷柜</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hint="eastAsia" w:ascii="仿宋" w:hAnsi="仿宋" w:eastAsia="仿宋" w:cs="仿宋"/>
          <w:sz w:val="24"/>
          <w:szCs w:val="24"/>
          <w:lang w:eastAsia="zh-CN"/>
        </w:rPr>
        <w:t>SB/T 10794.2—2012  商用冷柜  第2部分：分类、要求和试验条件</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hint="eastAsia" w:ascii="仿宋" w:hAnsi="仿宋" w:eastAsia="仿宋" w:cs="仿宋"/>
          <w:sz w:val="24"/>
          <w:szCs w:val="24"/>
          <w:lang w:eastAsia="zh-CN"/>
        </w:rPr>
        <w:t>SB/T 10794.3—2012  商用冷柜 第3部分：饮料冷藏陈列柜</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  标准主要内容</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4.1  范围</w:t>
      </w:r>
    </w:p>
    <w:p>
      <w:pPr>
        <w:widowControl/>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本文件规定了制冷陈列柜的分类、要求、试验方法、检验规则、标志、产品说明、包装、运输、贮存及质量承诺。</w:t>
      </w:r>
    </w:p>
    <w:p>
      <w:pPr>
        <w:widowControl/>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本文件适用于制冷机组和陈列柜本体为一体的自携式制冷陈列柜。</w:t>
      </w:r>
    </w:p>
    <w:p>
      <w:pPr>
        <w:widowControl/>
        <w:spacing w:line="360" w:lineRule="auto"/>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eastAsia="zh-CN"/>
        </w:rPr>
        <w:t>本文件不适用于制冷自动售货机和拟用于餐饮的非零售用的制冷柜；也不适用于陈列柜内所展示食品类型的选择。</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4.2  要求</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本标准包括了三部分，第一部分是基础性指标，是产品基本属性指标；第二部分是关键性指标，是消费者和企业都关注、体现产品竞争力的技术指标，指标提升，用户满意度会明显提升；第三部分是新增指标，新增指标是在行业标准的基础上，根据目前其他相关国行标准的最新要求和体现企业技术创新，指标确立，用户满意度显著提升。</w:t>
      </w:r>
    </w:p>
    <w:p>
      <w:pPr>
        <w:widowControl/>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本标准的基础性指标，包括了</w:t>
      </w:r>
      <w:r>
        <w:rPr>
          <w:rFonts w:hint="eastAsia" w:ascii="仿宋" w:hAnsi="仿宋" w:eastAsia="仿宋" w:cs="仿宋"/>
          <w:sz w:val="28"/>
          <w:szCs w:val="28"/>
          <w:lang w:val="en-US" w:eastAsia="zh-CN"/>
        </w:rPr>
        <w:t>外观、</w:t>
      </w:r>
      <w:r>
        <w:rPr>
          <w:rFonts w:hint="eastAsia" w:ascii="仿宋" w:hAnsi="仿宋" w:eastAsia="仿宋" w:cs="仿宋"/>
          <w:sz w:val="28"/>
          <w:szCs w:val="28"/>
          <w:lang w:val="zh-CN" w:eastAsia="zh-CN"/>
        </w:rPr>
        <w:t>总有效容积、耐电压波动性能、水蒸气凝结、门、盖的气密性、安全</w:t>
      </w:r>
      <w:r>
        <w:rPr>
          <w:rFonts w:hint="eastAsia" w:ascii="仿宋" w:hAnsi="仿宋" w:eastAsia="仿宋" w:cs="仿宋"/>
          <w:sz w:val="28"/>
          <w:szCs w:val="28"/>
          <w:lang w:eastAsia="zh-CN"/>
        </w:rPr>
        <w:t>等指标；关键性指标，包括了</w:t>
      </w:r>
      <w:r>
        <w:rPr>
          <w:rFonts w:hint="eastAsia" w:ascii="仿宋" w:hAnsi="仿宋" w:eastAsia="仿宋" w:cs="仿宋"/>
          <w:sz w:val="28"/>
          <w:szCs w:val="28"/>
          <w:lang w:val="zh-CN" w:eastAsia="zh-CN"/>
        </w:rPr>
        <w:t>温度、启动性能、耗电量、能效指数、制冷系统密封性、</w:t>
      </w:r>
      <w:r>
        <w:rPr>
          <w:rFonts w:hint="eastAsia" w:ascii="仿宋" w:hAnsi="仿宋" w:eastAsia="仿宋" w:cs="仿宋"/>
          <w:sz w:val="28"/>
          <w:szCs w:val="28"/>
          <w:lang w:val="en-US" w:eastAsia="zh-CN"/>
        </w:rPr>
        <w:t>振动、</w:t>
      </w:r>
      <w:r>
        <w:rPr>
          <w:rFonts w:hint="eastAsia" w:ascii="仿宋" w:hAnsi="仿宋" w:eastAsia="仿宋" w:cs="仿宋"/>
          <w:sz w:val="28"/>
          <w:szCs w:val="28"/>
          <w:lang w:val="zh-CN" w:eastAsia="zh-CN"/>
        </w:rPr>
        <w:t>噪声</w:t>
      </w:r>
      <w:r>
        <w:rPr>
          <w:rFonts w:hint="eastAsia" w:ascii="仿宋" w:hAnsi="仿宋" w:eastAsia="仿宋" w:cs="仿宋"/>
          <w:sz w:val="28"/>
          <w:szCs w:val="28"/>
          <w:lang w:eastAsia="zh-CN"/>
        </w:rPr>
        <w:t>等指标；新增指标</w:t>
      </w:r>
      <w:r>
        <w:rPr>
          <w:rFonts w:hint="eastAsia" w:ascii="仿宋" w:hAnsi="仿宋" w:eastAsia="仿宋" w:cs="仿宋"/>
          <w:sz w:val="28"/>
          <w:szCs w:val="28"/>
          <w:lang w:val="zh-CN" w:eastAsia="zh-CN"/>
        </w:rPr>
        <w:t>电磁兼容、限用物质、食品接触材料安全、制冷剂类型、抗菌、智能化功能</w:t>
      </w:r>
      <w:r>
        <w:rPr>
          <w:rFonts w:hint="eastAsia" w:ascii="仿宋" w:hAnsi="仿宋" w:eastAsia="仿宋" w:cs="仿宋"/>
          <w:sz w:val="28"/>
          <w:szCs w:val="28"/>
          <w:lang w:eastAsia="zh-CN"/>
        </w:rPr>
        <w:t>等指标。</w:t>
      </w:r>
    </w:p>
    <w:p>
      <w:pPr>
        <w:autoSpaceDE/>
        <w:autoSpaceDN/>
        <w:spacing w:after="120" w:line="360" w:lineRule="auto"/>
        <w:ind w:firstLine="562" w:firstLineChars="200"/>
        <w:jc w:val="center"/>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标准指标比对表</w:t>
      </w:r>
    </w:p>
    <w:tbl>
      <w:tblPr>
        <w:tblStyle w:val="10"/>
        <w:tblW w:w="49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586"/>
        <w:gridCol w:w="1155"/>
        <w:gridCol w:w="1215"/>
        <w:gridCol w:w="1136"/>
        <w:gridCol w:w="1035"/>
        <w:gridCol w:w="1305"/>
        <w:gridCol w:w="1365"/>
        <w:gridCol w:w="975"/>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67" w:hRule="atLeast"/>
          <w:tblHeader/>
          <w:jc w:val="center"/>
        </w:trPr>
        <w:tc>
          <w:tcPr>
            <w:tcW w:w="305"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指标</w:t>
            </w:r>
          </w:p>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类型</w:t>
            </w:r>
          </w:p>
        </w:tc>
        <w:tc>
          <w:tcPr>
            <w:tcW w:w="602"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r>
              <w:rPr>
                <w:rFonts w:hint="eastAsia" w:ascii="宋体" w:hAnsi="宋体" w:eastAsia="宋体" w:cs="宋体"/>
                <w:spacing w:val="0"/>
                <w:sz w:val="18"/>
                <w:szCs w:val="18"/>
                <w:shd w:val="clear" w:color="auto" w:fill="auto"/>
                <w:lang w:val="zh-CN"/>
              </w:rPr>
              <w:t>指标项目</w:t>
            </w:r>
          </w:p>
        </w:tc>
        <w:tc>
          <w:tcPr>
            <w:tcW w:w="1766" w:type="pct"/>
            <w:gridSpan w:val="3"/>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r>
              <w:rPr>
                <w:rFonts w:hint="eastAsia" w:ascii="宋体" w:hAnsi="宋体" w:eastAsia="宋体" w:cs="宋体"/>
                <w:spacing w:val="0"/>
                <w:sz w:val="18"/>
                <w:szCs w:val="18"/>
                <w:shd w:val="clear" w:color="auto" w:fill="auto"/>
                <w:lang w:eastAsia="zh-CN"/>
              </w:rPr>
              <w:t>佛山</w:t>
            </w:r>
            <w:r>
              <w:rPr>
                <w:rFonts w:hint="eastAsia" w:ascii="宋体" w:hAnsi="宋体" w:eastAsia="宋体" w:cs="宋体"/>
                <w:spacing w:val="0"/>
                <w:sz w:val="18"/>
                <w:szCs w:val="18"/>
                <w:shd w:val="clear" w:color="auto" w:fill="auto"/>
                <w:lang w:val="zh-CN" w:eastAsia="zh-CN"/>
              </w:rPr>
              <w:t>标准</w:t>
            </w:r>
          </w:p>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T/FSS XX-2024</w:t>
            </w:r>
          </w:p>
        </w:tc>
        <w:tc>
          <w:tcPr>
            <w:tcW w:w="1901" w:type="pct"/>
            <w:gridSpan w:val="3"/>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国家标准</w:t>
            </w:r>
          </w:p>
          <w:p>
            <w:pPr>
              <w:keepNext w:val="0"/>
              <w:keepLines w:val="0"/>
              <w:pageBreakBefore w:val="0"/>
              <w:kinsoku/>
              <w:wordWrap/>
              <w:overflowPunct/>
              <w:topLinePunct w:val="0"/>
              <w:bidi w:val="0"/>
              <w:jc w:val="center"/>
              <w:textAlignment w:val="auto"/>
              <w:rPr>
                <w:rFonts w:hint="eastAsia" w:ascii="宋体" w:hAnsi="宋体"/>
                <w:spacing w:val="0"/>
                <w:sz w:val="18"/>
                <w:szCs w:val="18"/>
                <w:shd w:val="clear" w:color="auto" w:fill="auto"/>
                <w:lang w:eastAsia="zh-CN"/>
              </w:rPr>
            </w:pPr>
            <w:r>
              <w:rPr>
                <w:rFonts w:hint="eastAsia" w:ascii="宋体" w:hAnsi="宋体"/>
                <w:spacing w:val="0"/>
                <w:sz w:val="18"/>
                <w:szCs w:val="18"/>
                <w:shd w:val="clear" w:color="auto" w:fill="auto"/>
                <w:lang w:eastAsia="zh-CN"/>
              </w:rPr>
              <w:t>GB</w:t>
            </w:r>
            <w:r>
              <w:rPr>
                <w:rFonts w:hint="default" w:ascii="宋体" w:hAnsi="宋体"/>
                <w:spacing w:val="0"/>
                <w:sz w:val="18"/>
                <w:szCs w:val="18"/>
                <w:shd w:val="clear" w:color="auto" w:fill="auto"/>
                <w:lang w:val="en-US" w:eastAsia="zh-CN"/>
              </w:rPr>
              <w:t>/</w:t>
            </w:r>
            <w:r>
              <w:rPr>
                <w:rFonts w:hint="eastAsia" w:ascii="宋体" w:hAnsi="宋体"/>
                <w:spacing w:val="0"/>
                <w:sz w:val="18"/>
                <w:szCs w:val="18"/>
                <w:shd w:val="clear" w:color="auto" w:fill="auto"/>
                <w:lang w:eastAsia="zh-CN"/>
              </w:rPr>
              <w:t>T 21001.2-2015</w:t>
            </w:r>
          </w:p>
          <w:p>
            <w:pPr>
              <w:keepNext w:val="0"/>
              <w:keepLines w:val="0"/>
              <w:pageBreakBefore w:val="0"/>
              <w:kinsoku/>
              <w:wordWrap/>
              <w:overflowPunct/>
              <w:topLinePunct w:val="0"/>
              <w:bidi w:val="0"/>
              <w:jc w:val="center"/>
              <w:textAlignment w:val="auto"/>
              <w:rPr>
                <w:rFonts w:hint="eastAsia" w:ascii="宋体" w:hAnsi="宋体"/>
                <w:spacing w:val="0"/>
                <w:sz w:val="18"/>
                <w:szCs w:val="18"/>
                <w:shd w:val="clear" w:color="auto" w:fill="auto"/>
                <w:lang w:eastAsia="zh-CN"/>
              </w:rPr>
            </w:pPr>
            <w:r>
              <w:rPr>
                <w:rFonts w:hint="eastAsia" w:ascii="宋体" w:hAnsi="宋体"/>
                <w:spacing w:val="0"/>
                <w:sz w:val="18"/>
                <w:szCs w:val="18"/>
                <w:shd w:val="clear" w:color="auto" w:fill="auto"/>
                <w:lang w:eastAsia="zh-CN"/>
              </w:rPr>
              <w:t>GB/T 21001.3—2015</w:t>
            </w:r>
          </w:p>
          <w:p>
            <w:pPr>
              <w:keepNext w:val="0"/>
              <w:keepLines w:val="0"/>
              <w:pageBreakBefore w:val="0"/>
              <w:kinsoku/>
              <w:wordWrap/>
              <w:overflowPunct/>
              <w:topLinePunct w:val="0"/>
              <w:bidi w:val="0"/>
              <w:jc w:val="center"/>
              <w:textAlignment w:val="auto"/>
              <w:rPr>
                <w:rFonts w:hint="eastAsia" w:ascii="宋体" w:hAnsi="宋体"/>
                <w:spacing w:val="0"/>
                <w:sz w:val="18"/>
                <w:szCs w:val="18"/>
                <w:shd w:val="clear" w:color="auto" w:fill="auto"/>
                <w:lang w:eastAsia="zh-CN"/>
              </w:rPr>
            </w:pPr>
            <w:r>
              <w:rPr>
                <w:rFonts w:hint="eastAsia" w:ascii="宋体" w:hAnsi="宋体"/>
                <w:spacing w:val="0"/>
                <w:sz w:val="18"/>
                <w:szCs w:val="18"/>
                <w:shd w:val="clear" w:color="auto" w:fill="auto"/>
                <w:lang w:eastAsia="zh-CN"/>
              </w:rPr>
              <w:t>SB/T 10794.2-2012</w:t>
            </w:r>
          </w:p>
          <w:p>
            <w:pPr>
              <w:keepNext w:val="0"/>
              <w:keepLines w:val="0"/>
              <w:pageBreakBefore w:val="0"/>
              <w:kinsoku/>
              <w:wordWrap/>
              <w:overflowPunct/>
              <w:topLinePunct w:val="0"/>
              <w:bidi w:val="0"/>
              <w:jc w:val="center"/>
              <w:textAlignment w:val="auto"/>
              <w:rPr>
                <w:rFonts w:hint="eastAsia" w:ascii="宋体" w:hAnsi="宋体"/>
                <w:spacing w:val="0"/>
                <w:sz w:val="18"/>
                <w:szCs w:val="18"/>
                <w:shd w:val="clear" w:color="auto" w:fill="auto"/>
                <w:lang w:eastAsia="zh-CN"/>
              </w:rPr>
            </w:pPr>
            <w:r>
              <w:rPr>
                <w:rFonts w:hint="eastAsia" w:ascii="宋体" w:hAnsi="宋体"/>
                <w:spacing w:val="0"/>
                <w:sz w:val="18"/>
                <w:szCs w:val="18"/>
                <w:shd w:val="clear" w:color="auto" w:fill="auto"/>
                <w:lang w:eastAsia="zh-CN"/>
              </w:rPr>
              <w:t>SB/T 10794.</w:t>
            </w:r>
            <w:r>
              <w:rPr>
                <w:rFonts w:hint="eastAsia" w:ascii="宋体" w:hAnsi="宋体"/>
                <w:spacing w:val="0"/>
                <w:sz w:val="18"/>
                <w:szCs w:val="18"/>
                <w:shd w:val="clear" w:color="auto" w:fill="auto"/>
                <w:lang w:val="en-US" w:eastAsia="zh-CN"/>
              </w:rPr>
              <w:t>3</w:t>
            </w:r>
            <w:r>
              <w:rPr>
                <w:rFonts w:hint="eastAsia" w:ascii="宋体" w:hAnsi="宋体"/>
                <w:spacing w:val="0"/>
                <w:sz w:val="18"/>
                <w:szCs w:val="18"/>
                <w:shd w:val="clear" w:color="auto" w:fill="auto"/>
                <w:lang w:eastAsia="zh-CN"/>
              </w:rPr>
              <w:t>-2012</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r>
              <w:rPr>
                <w:rFonts w:hint="eastAsia" w:ascii="宋体" w:hAnsi="宋体" w:eastAsia="宋体" w:cs="宋体"/>
                <w:spacing w:val="0"/>
                <w:kern w:val="2"/>
                <w:sz w:val="18"/>
                <w:szCs w:val="18"/>
                <w:shd w:val="clear" w:color="auto" w:fill="auto"/>
                <w:lang w:eastAsia="zh-CN"/>
              </w:rPr>
              <w:t>比对情况及说明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restart"/>
            <w:shd w:val="clear" w:color="auto" w:fill="auto"/>
            <w:vAlign w:val="center"/>
          </w:tcPr>
          <w:p>
            <w:pPr>
              <w:keepNext w:val="0"/>
              <w:keepLines w:val="0"/>
              <w:pageBreakBefore w:val="0"/>
              <w:kinsoku/>
              <w:wordWrap/>
              <w:overflowPunct/>
              <w:topLinePunct w:val="0"/>
              <w:bidi w:val="0"/>
              <w:jc w:val="center"/>
              <w:textAlignment w:val="auto"/>
              <w:rPr>
                <w:rFonts w:hint="default" w:ascii="宋体" w:hAnsi="宋体" w:cs="宋体"/>
                <w:spacing w:val="0"/>
                <w:sz w:val="18"/>
                <w:szCs w:val="18"/>
                <w:shd w:val="clear" w:color="auto" w:fill="auto"/>
                <w:lang w:val="en-US" w:eastAsia="zh-CN"/>
              </w:rPr>
            </w:pPr>
            <w:r>
              <w:rPr>
                <w:rFonts w:hint="eastAsia" w:ascii="宋体" w:hAnsi="宋体" w:cs="宋体"/>
                <w:spacing w:val="0"/>
                <w:sz w:val="18"/>
                <w:szCs w:val="18"/>
                <w:shd w:val="clear" w:color="auto" w:fill="auto"/>
                <w:lang w:val="en-US" w:eastAsia="zh-CN"/>
              </w:rPr>
              <w:t>基础性指标</w:t>
            </w:r>
          </w:p>
        </w:tc>
        <w:tc>
          <w:tcPr>
            <w:tcW w:w="602" w:type="pct"/>
            <w:shd w:val="clear" w:color="auto" w:fill="auto"/>
            <w:vAlign w:val="center"/>
          </w:tcPr>
          <w:p>
            <w:pPr>
              <w:keepNext w:val="0"/>
              <w:keepLines w:val="0"/>
              <w:pageBreakBefore w:val="0"/>
              <w:kinsoku/>
              <w:wordWrap/>
              <w:overflowPunct/>
              <w:topLinePunct w:val="0"/>
              <w:bidi w:val="0"/>
              <w:jc w:val="center"/>
              <w:textAlignment w:val="auto"/>
              <w:rPr>
                <w:rFonts w:hint="default" w:ascii="宋体" w:hAnsi="宋体" w:eastAsia="宋体" w:cs="宋体"/>
                <w:spacing w:val="0"/>
                <w:sz w:val="18"/>
                <w:szCs w:val="18"/>
                <w:shd w:val="clear" w:color="auto" w:fill="auto"/>
                <w:lang w:val="en-US" w:eastAsia="zh-CN" w:bidi="ar-SA"/>
              </w:rPr>
            </w:pPr>
            <w:r>
              <w:rPr>
                <w:rFonts w:hint="eastAsia" w:ascii="宋体" w:hAnsi="宋体" w:cs="宋体"/>
                <w:spacing w:val="0"/>
                <w:sz w:val="18"/>
                <w:szCs w:val="18"/>
                <w:shd w:val="clear" w:color="auto" w:fill="auto"/>
                <w:lang w:val="zh-CN"/>
              </w:rPr>
              <w:t>外观</w:t>
            </w:r>
          </w:p>
        </w:tc>
        <w:tc>
          <w:tcPr>
            <w:tcW w:w="1766" w:type="pct"/>
            <w:gridSpan w:val="3"/>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标准中5.1规定的外观要求</w:t>
            </w:r>
          </w:p>
        </w:tc>
        <w:tc>
          <w:tcPr>
            <w:tcW w:w="1901"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default" w:ascii="宋体" w:hAnsi="宋体" w:eastAsia="宋体" w:cs="宋体"/>
                <w:color w:val="auto"/>
                <w:sz w:val="18"/>
                <w:szCs w:val="18"/>
                <w:lang w:val="en-US" w:eastAsia="zh-CN"/>
              </w:rPr>
            </w:pPr>
            <w:r>
              <w:rPr>
                <w:rFonts w:hint="eastAsia" w:ascii="宋体" w:hAnsi="宋体" w:eastAsia="宋体" w:cs="宋体"/>
                <w:color w:val="auto"/>
                <w:sz w:val="18"/>
                <w:szCs w:val="18"/>
                <w:lang w:eastAsia="zh-CN"/>
              </w:rPr>
              <w:t>SB/T 10794.2-2012</w:t>
            </w:r>
            <w:r>
              <w:rPr>
                <w:rFonts w:hint="eastAsia" w:ascii="宋体" w:hAnsi="宋体" w:eastAsia="宋体" w:cs="宋体"/>
                <w:color w:val="auto"/>
                <w:sz w:val="18"/>
                <w:szCs w:val="18"/>
                <w:lang w:val="en-US" w:eastAsia="zh-CN"/>
              </w:rPr>
              <w:t>中4.1.7规定的外观要求</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default" w:ascii="宋体" w:hAnsi="宋体" w:eastAsia="宋体" w:cs="Times New Roman"/>
                <w:spacing w:val="0"/>
                <w:sz w:val="18"/>
                <w:szCs w:val="18"/>
                <w:shd w:val="clear" w:color="auto" w:fill="auto"/>
                <w:lang w:val="en-US" w:eastAsia="zh-CN" w:bidi="ar-SA"/>
              </w:rPr>
            </w:pPr>
            <w:r>
              <w:rPr>
                <w:rFonts w:hint="eastAsia" w:ascii="宋体" w:hAnsi="宋体"/>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ascii="宋体" w:hAnsi="宋体" w:cs="宋体"/>
                <w:spacing w:val="0"/>
                <w:sz w:val="18"/>
                <w:szCs w:val="18"/>
                <w:shd w:val="clear" w:color="auto" w:fill="auto"/>
                <w:lang w:eastAsia="zh-CN"/>
              </w:rPr>
            </w:pPr>
          </w:p>
        </w:tc>
        <w:tc>
          <w:tcPr>
            <w:tcW w:w="602"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宋体" w:hAnsi="宋体" w:eastAsia="宋体" w:cs="Times New Roman"/>
                <w:spacing w:val="0"/>
                <w:sz w:val="18"/>
                <w:szCs w:val="18"/>
                <w:shd w:val="clear" w:color="auto" w:fill="auto"/>
                <w:lang w:val="zh-CN" w:eastAsia="zh-CN" w:bidi="ar-SA"/>
              </w:rPr>
            </w:pPr>
            <w:r>
              <w:rPr>
                <w:rFonts w:hint="eastAsia" w:ascii="宋体" w:hAnsi="宋体" w:eastAsia="宋体" w:cs="宋体"/>
                <w:spacing w:val="0"/>
                <w:sz w:val="18"/>
                <w:szCs w:val="18"/>
                <w:shd w:val="clear" w:color="auto" w:fill="auto"/>
                <w:lang w:val="zh-CN"/>
              </w:rPr>
              <w:t>总有效容积</w:t>
            </w:r>
          </w:p>
        </w:tc>
        <w:tc>
          <w:tcPr>
            <w:tcW w:w="1766" w:type="pct"/>
            <w:gridSpan w:val="3"/>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eastAsia="zh-CN"/>
              </w:rPr>
              <w:t>总有效容积应符合SB/T 10794.2—2012中附录A的要求。实际测量的有效容积 (净容积)应不小于额定值，且应符合GB/T 21001.3—2015 中 4.1.3 的要求</w:t>
            </w:r>
          </w:p>
        </w:tc>
        <w:tc>
          <w:tcPr>
            <w:tcW w:w="1901"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SB/T 10794.2-2012</w:t>
            </w:r>
            <w:r>
              <w:rPr>
                <w:rFonts w:hint="eastAsia" w:ascii="宋体" w:hAnsi="宋体" w:eastAsia="宋体" w:cs="宋体"/>
                <w:color w:val="auto"/>
                <w:sz w:val="18"/>
                <w:szCs w:val="18"/>
                <w:lang w:val="en-US" w:eastAsia="zh-CN"/>
              </w:rPr>
              <w:t>中</w:t>
            </w:r>
            <w:r>
              <w:rPr>
                <w:rFonts w:hint="eastAsia" w:ascii="宋体" w:hAnsi="宋体" w:eastAsia="宋体" w:cs="宋体"/>
                <w:color w:val="auto"/>
                <w:sz w:val="18"/>
                <w:szCs w:val="18"/>
                <w:lang w:eastAsia="zh-CN"/>
              </w:rPr>
              <w:t>4.1.8.2</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eastAsia="zh-CN"/>
              </w:rPr>
              <w:t>额定有效容积以 m</w:t>
            </w:r>
            <w:r>
              <w:rPr>
                <w:rFonts w:hint="eastAsia" w:ascii="宋体" w:hAnsi="宋体" w:eastAsia="宋体" w:cs="宋体"/>
                <w:color w:val="auto"/>
                <w:sz w:val="18"/>
                <w:szCs w:val="18"/>
                <w:lang w:val="en-US" w:eastAsia="zh-CN"/>
              </w:rPr>
              <w:t>2</w:t>
            </w:r>
            <w:r>
              <w:rPr>
                <w:rFonts w:hint="eastAsia" w:ascii="宋体" w:hAnsi="宋体" w:eastAsia="宋体" w:cs="宋体"/>
                <w:color w:val="auto"/>
                <w:sz w:val="18"/>
                <w:szCs w:val="18"/>
                <w:lang w:eastAsia="zh-CN"/>
              </w:rPr>
              <w:t>表示。冷柜的有效容积按附录A进行测量计算,其值应不小于额定值。</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Times New Roman"/>
                <w:spacing w:val="0"/>
                <w:sz w:val="18"/>
                <w:szCs w:val="18"/>
                <w:shd w:val="clear" w:color="auto" w:fill="auto"/>
                <w:lang w:val="en-US" w:eastAsia="zh-CN" w:bidi="ar-SA"/>
              </w:rPr>
            </w:pPr>
            <w:r>
              <w:rPr>
                <w:rFonts w:hint="eastAsia" w:ascii="宋体" w:hAnsi="宋体"/>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ascii="宋体" w:hAnsi="宋体" w:cs="宋体"/>
                <w:spacing w:val="0"/>
                <w:sz w:val="18"/>
                <w:szCs w:val="18"/>
                <w:shd w:val="clear" w:color="auto" w:fill="auto"/>
                <w:lang w:eastAsia="zh-CN"/>
              </w:rPr>
            </w:pPr>
          </w:p>
        </w:tc>
        <w:tc>
          <w:tcPr>
            <w:tcW w:w="602"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宋体" w:hAnsi="宋体" w:eastAsia="宋体" w:cs="宋体"/>
                <w:spacing w:val="0"/>
                <w:sz w:val="18"/>
                <w:szCs w:val="18"/>
                <w:shd w:val="clear" w:color="auto" w:fill="auto"/>
                <w:lang w:val="zh-CN"/>
              </w:rPr>
            </w:pPr>
            <w:r>
              <w:rPr>
                <w:rFonts w:hint="eastAsia" w:ascii="宋体" w:hAnsi="宋体" w:eastAsia="宋体" w:cs="宋体"/>
                <w:sz w:val="18"/>
                <w:szCs w:val="18"/>
              </w:rPr>
              <w:t>展示面积（TDA)</w:t>
            </w:r>
          </w:p>
        </w:tc>
        <w:tc>
          <w:tcPr>
            <w:tcW w:w="1766" w:type="pct"/>
            <w:gridSpan w:val="3"/>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实际测量的总展示面积不应小于额定值(单位：m2)，且应符合GB/T 21001.3—2015 中 4.1.3 的要求</w:t>
            </w:r>
          </w:p>
        </w:tc>
        <w:tc>
          <w:tcPr>
            <w:tcW w:w="1901"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按GB/T 21001.2—2015附录A进行测量、计算，实际测量的总展示面积不应小于额定</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spacing w:val="0"/>
                <w:sz w:val="18"/>
                <w:szCs w:val="18"/>
                <w:shd w:val="clear" w:color="auto" w:fil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eastAsia="zh-CN"/>
              </w:rPr>
            </w:pPr>
          </w:p>
        </w:tc>
        <w:tc>
          <w:tcPr>
            <w:tcW w:w="602"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r>
              <w:rPr>
                <w:rFonts w:hint="eastAsia" w:ascii="宋体" w:hAnsi="宋体" w:eastAsia="宋体" w:cs="宋体"/>
                <w:spacing w:val="0"/>
                <w:sz w:val="18"/>
                <w:szCs w:val="18"/>
                <w:shd w:val="clear" w:color="auto" w:fill="auto"/>
                <w:lang w:val="zh-CN"/>
              </w:rPr>
              <w:t>电压</w:t>
            </w:r>
            <w:r>
              <w:rPr>
                <w:rFonts w:hint="eastAsia" w:ascii="宋体" w:hAnsi="宋体" w:cs="宋体"/>
                <w:spacing w:val="0"/>
                <w:sz w:val="18"/>
                <w:szCs w:val="18"/>
                <w:shd w:val="clear" w:color="auto" w:fill="auto"/>
                <w:lang w:val="zh-CN"/>
              </w:rPr>
              <w:t>变动</w:t>
            </w:r>
          </w:p>
        </w:tc>
        <w:tc>
          <w:tcPr>
            <w:tcW w:w="1766" w:type="pct"/>
            <w:gridSpan w:val="3"/>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应能适应电网电压的波动，按6.5.3的方法进行试验时，陈列柜应运行正常，机组各部件不能出现故障，不应出现热过载保护，柜内温度应能保持正常</w:t>
            </w:r>
          </w:p>
        </w:tc>
        <w:tc>
          <w:tcPr>
            <w:tcW w:w="1901"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SB/T 10794.2-2012</w:t>
            </w:r>
            <w:r>
              <w:rPr>
                <w:rFonts w:hint="eastAsia" w:ascii="宋体" w:hAnsi="宋体" w:eastAsia="宋体" w:cs="宋体"/>
                <w:color w:val="auto"/>
                <w:sz w:val="18"/>
                <w:szCs w:val="18"/>
                <w:lang w:val="en-US" w:eastAsia="zh-CN"/>
              </w:rPr>
              <w:t>中</w:t>
            </w:r>
            <w:r>
              <w:rPr>
                <w:rFonts w:hint="eastAsia" w:ascii="宋体" w:hAnsi="宋体" w:eastAsia="宋体" w:cs="宋体"/>
                <w:color w:val="auto"/>
                <w:sz w:val="18"/>
                <w:szCs w:val="18"/>
                <w:lang w:eastAsia="zh-CN"/>
              </w:rPr>
              <w:t>4.2.12 耐电压波动性能</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冷柜应能适应电网电压的波动。按5.3.17进行试验时,冷柜应运行正常,机组各部件不能出现故障,不应出现热过载保护,柜内温度应能保持正常。</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spacing w:val="0"/>
                <w:sz w:val="18"/>
                <w:szCs w:val="18"/>
                <w:shd w:val="clear" w:color="auto" w:fill="auto"/>
                <w:lang w:eastAsia="zh-CN"/>
              </w:rPr>
            </w:pPr>
            <w:r>
              <w:rPr>
                <w:rFonts w:hint="eastAsia" w:ascii="宋体" w:hAnsi="宋体"/>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eastAsia="zh-CN"/>
              </w:rPr>
            </w:pPr>
          </w:p>
        </w:tc>
        <w:tc>
          <w:tcPr>
            <w:tcW w:w="602"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r>
              <w:rPr>
                <w:color w:val="auto"/>
                <w:spacing w:val="-3"/>
                <w:w w:val="105"/>
                <w:sz w:val="18"/>
                <w:szCs w:val="18"/>
                <w:highlight w:val="none"/>
              </w:rPr>
              <w:t>半载降温试验</w:t>
            </w:r>
          </w:p>
        </w:tc>
        <w:tc>
          <w:tcPr>
            <w:tcW w:w="1766" w:type="pct"/>
            <w:gridSpan w:val="3"/>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对饮料冷藏陈列柜，按6.5.4的要求进行试验，试验结束后，符合表2的要求</w:t>
            </w:r>
          </w:p>
        </w:tc>
        <w:tc>
          <w:tcPr>
            <w:tcW w:w="1901"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default" w:ascii="宋体" w:hAnsi="宋体" w:eastAsia="宋体" w:cs="宋体"/>
                <w:color w:val="auto"/>
                <w:sz w:val="18"/>
                <w:szCs w:val="18"/>
                <w:lang w:val="en-US" w:eastAsia="zh-CN"/>
              </w:rPr>
            </w:pPr>
            <w:r>
              <w:rPr>
                <w:rFonts w:hint="eastAsia" w:ascii="宋体" w:hAnsi="宋体" w:eastAsia="宋体" w:cs="宋体"/>
                <w:color w:val="auto"/>
                <w:sz w:val="18"/>
                <w:szCs w:val="18"/>
                <w:lang w:eastAsia="zh-CN"/>
              </w:rPr>
              <w:t>SB/T 10794.</w:t>
            </w:r>
            <w:r>
              <w:rPr>
                <w:rFonts w:hint="eastAsia" w:ascii="宋体" w:hAnsi="宋体" w:eastAsia="宋体" w:cs="宋体"/>
                <w:color w:val="auto"/>
                <w:sz w:val="18"/>
                <w:szCs w:val="18"/>
                <w:lang w:val="en-US" w:eastAsia="zh-CN"/>
              </w:rPr>
              <w:t>3</w:t>
            </w:r>
            <w:r>
              <w:rPr>
                <w:rFonts w:hint="eastAsia" w:ascii="宋体" w:hAnsi="宋体" w:eastAsia="宋体" w:cs="宋体"/>
                <w:color w:val="auto"/>
                <w:sz w:val="18"/>
                <w:szCs w:val="18"/>
                <w:lang w:eastAsia="zh-CN"/>
              </w:rPr>
              <w:t>-2012中表</w:t>
            </w:r>
            <w:r>
              <w:rPr>
                <w:rFonts w:hint="eastAsia" w:ascii="宋体" w:hAnsi="宋体" w:eastAsia="宋体" w:cs="宋体"/>
                <w:color w:val="auto"/>
                <w:sz w:val="18"/>
                <w:szCs w:val="18"/>
                <w:lang w:val="en-US" w:eastAsia="zh-CN"/>
              </w:rPr>
              <w:t>2要求</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spacing w:val="0"/>
                <w:sz w:val="18"/>
                <w:szCs w:val="18"/>
                <w:shd w:val="clear" w:color="auto" w:fil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eastAsia="zh-CN"/>
              </w:rPr>
            </w:pPr>
          </w:p>
        </w:tc>
        <w:tc>
          <w:tcPr>
            <w:tcW w:w="602"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r>
              <w:rPr>
                <w:rFonts w:hint="eastAsia" w:ascii="宋体" w:hAnsi="宋体" w:eastAsia="宋体" w:cs="宋体"/>
                <w:spacing w:val="0"/>
                <w:sz w:val="18"/>
                <w:szCs w:val="18"/>
                <w:shd w:val="clear" w:color="auto" w:fill="auto"/>
                <w:lang w:val="zh-CN"/>
              </w:rPr>
              <w:t>水蒸气凝结</w:t>
            </w:r>
          </w:p>
        </w:tc>
        <w:tc>
          <w:tcPr>
            <w:tcW w:w="1766" w:type="pct"/>
            <w:gridSpan w:val="3"/>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按6.5.5的方法进行水蒸气凝结试验时，陈列柜外表面不允许出现流水状的凝露</w:t>
            </w:r>
          </w:p>
        </w:tc>
        <w:tc>
          <w:tcPr>
            <w:tcW w:w="1901"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GB</w:t>
            </w:r>
            <w:r>
              <w:rPr>
                <w:rFonts w:hint="default" w:ascii="宋体" w:hAnsi="宋体" w:eastAsia="宋体" w:cs="宋体"/>
                <w:color w:val="auto"/>
                <w:sz w:val="18"/>
                <w:szCs w:val="18"/>
                <w:lang w:val="en-US" w:eastAsia="zh-CN"/>
              </w:rPr>
              <w:t>/</w:t>
            </w:r>
            <w:r>
              <w:rPr>
                <w:rFonts w:hint="eastAsia" w:ascii="宋体" w:hAnsi="宋体" w:eastAsia="宋体" w:cs="宋体"/>
                <w:color w:val="auto"/>
                <w:sz w:val="18"/>
                <w:szCs w:val="18"/>
                <w:lang w:eastAsia="zh-CN"/>
              </w:rPr>
              <w:t>T 21001.2-2015中4.2.4 水蒸气凝结</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陈列柜的性能不应受水蒸气凝结的影响。水蒸气的凝结量应按5.3.4所规定的环境和检测方法进行验证。</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spacing w:val="0"/>
                <w:sz w:val="18"/>
                <w:szCs w:val="18"/>
                <w:shd w:val="clear" w:color="auto" w:fill="auto"/>
                <w:lang w:eastAsia="zh-CN"/>
              </w:rPr>
            </w:pPr>
            <w:r>
              <w:rPr>
                <w:rFonts w:hint="eastAsia" w:ascii="宋体" w:hAnsi="宋体"/>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eastAsia="zh-CN"/>
              </w:rPr>
            </w:pPr>
          </w:p>
        </w:tc>
        <w:tc>
          <w:tcPr>
            <w:tcW w:w="602"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color w:val="auto"/>
                <w:sz w:val="18"/>
                <w:szCs w:val="18"/>
                <w:lang w:val="zh-CN"/>
              </w:rPr>
            </w:pPr>
            <w:r>
              <w:rPr>
                <w:rFonts w:hint="eastAsia" w:ascii="宋体" w:hAnsi="宋体" w:eastAsia="宋体" w:cs="宋体"/>
                <w:color w:val="auto"/>
                <w:sz w:val="18"/>
                <w:szCs w:val="18"/>
              </w:rPr>
              <w:t>开门试验</w:t>
            </w:r>
          </w:p>
        </w:tc>
        <w:tc>
          <w:tcPr>
            <w:tcW w:w="1766" w:type="pct"/>
            <w:gridSpan w:val="3"/>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对饮料冷藏陈列柜，按6.5.6的要求进行试验，试验结束后，符合表2的要求</w:t>
            </w:r>
          </w:p>
        </w:tc>
        <w:tc>
          <w:tcPr>
            <w:tcW w:w="1901"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SB/T 10794.</w:t>
            </w:r>
            <w:r>
              <w:rPr>
                <w:rFonts w:hint="eastAsia" w:ascii="宋体" w:hAnsi="宋体" w:eastAsia="宋体" w:cs="宋体"/>
                <w:color w:val="auto"/>
                <w:sz w:val="18"/>
                <w:szCs w:val="18"/>
                <w:lang w:val="en-US" w:eastAsia="zh-CN"/>
              </w:rPr>
              <w:t>3</w:t>
            </w:r>
            <w:r>
              <w:rPr>
                <w:rFonts w:hint="eastAsia" w:ascii="宋体" w:hAnsi="宋体" w:eastAsia="宋体" w:cs="宋体"/>
                <w:color w:val="auto"/>
                <w:sz w:val="18"/>
                <w:szCs w:val="18"/>
                <w:lang w:eastAsia="zh-CN"/>
              </w:rPr>
              <w:t>-2012中表</w:t>
            </w:r>
            <w:r>
              <w:rPr>
                <w:rFonts w:hint="eastAsia" w:ascii="宋体" w:hAnsi="宋体" w:eastAsia="宋体" w:cs="宋体"/>
                <w:color w:val="auto"/>
                <w:sz w:val="18"/>
                <w:szCs w:val="18"/>
                <w:lang w:val="en-US" w:eastAsia="zh-CN"/>
              </w:rPr>
              <w:t>2要求</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spacing w:val="0"/>
                <w:sz w:val="18"/>
                <w:szCs w:val="18"/>
                <w:shd w:val="clear" w:color="auto" w:fil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eastAsia="zh-CN"/>
              </w:rPr>
            </w:pPr>
          </w:p>
        </w:tc>
        <w:tc>
          <w:tcPr>
            <w:tcW w:w="602"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color w:val="auto"/>
                <w:sz w:val="18"/>
                <w:szCs w:val="18"/>
                <w:lang w:val="zh-CN"/>
              </w:rPr>
            </w:pPr>
            <w:r>
              <w:rPr>
                <w:rFonts w:hint="eastAsia" w:ascii="宋体" w:hAnsi="宋体" w:eastAsia="宋体" w:cs="宋体"/>
                <w:color w:val="auto"/>
                <w:sz w:val="18"/>
                <w:szCs w:val="18"/>
              </w:rPr>
              <w:t>蒸发器结霜</w:t>
            </w:r>
          </w:p>
        </w:tc>
        <w:tc>
          <w:tcPr>
            <w:tcW w:w="1766" w:type="pct"/>
            <w:gridSpan w:val="3"/>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rPr>
              <w:t>对饮料冷藏陈列柜，按6.5.7的要求进行试验，试验结束后，符合表2的要求</w:t>
            </w:r>
          </w:p>
        </w:tc>
        <w:tc>
          <w:tcPr>
            <w:tcW w:w="1901" w:type="pct"/>
            <w:gridSpan w:val="3"/>
            <w:vAlign w:val="center"/>
          </w:tcPr>
          <w:p>
            <w:pPr>
              <w:keepNext w:val="0"/>
              <w:keepLines w:val="0"/>
              <w:pageBreakBefore w:val="0"/>
              <w:kinsoku/>
              <w:wordWrap/>
              <w:overflowPunct/>
              <w:topLinePunct w:val="0"/>
              <w:bidi w:val="0"/>
              <w:jc w:val="both"/>
              <w:textAlignment w:val="auto"/>
              <w:rPr>
                <w:rFonts w:ascii="宋体" w:hAnsi="宋体"/>
                <w:spacing w:val="0"/>
                <w:sz w:val="18"/>
                <w:szCs w:val="18"/>
                <w:shd w:val="clear" w:color="auto" w:fill="auto"/>
                <w:lang w:eastAsia="zh-CN"/>
              </w:rPr>
            </w:pPr>
            <w:r>
              <w:rPr>
                <w:rFonts w:hint="eastAsia" w:ascii="宋体" w:hAnsi="宋体"/>
                <w:spacing w:val="0"/>
                <w:sz w:val="18"/>
                <w:szCs w:val="18"/>
                <w:shd w:val="clear" w:color="auto" w:fill="auto"/>
                <w:lang w:eastAsia="zh-CN"/>
              </w:rPr>
              <w:t>SB/T 10794.</w:t>
            </w:r>
            <w:r>
              <w:rPr>
                <w:rFonts w:hint="eastAsia" w:ascii="宋体" w:hAnsi="宋体"/>
                <w:spacing w:val="0"/>
                <w:sz w:val="18"/>
                <w:szCs w:val="18"/>
                <w:shd w:val="clear" w:color="auto" w:fill="auto"/>
                <w:lang w:val="en-US" w:eastAsia="zh-CN"/>
              </w:rPr>
              <w:t>3</w:t>
            </w:r>
            <w:r>
              <w:rPr>
                <w:rFonts w:hint="eastAsia" w:ascii="宋体" w:hAnsi="宋体"/>
                <w:spacing w:val="0"/>
                <w:sz w:val="18"/>
                <w:szCs w:val="18"/>
                <w:shd w:val="clear" w:color="auto" w:fill="auto"/>
                <w:lang w:eastAsia="zh-CN"/>
              </w:rPr>
              <w:t>-2012中表</w:t>
            </w:r>
            <w:r>
              <w:rPr>
                <w:rFonts w:hint="eastAsia" w:ascii="宋体" w:hAnsi="宋体"/>
                <w:spacing w:val="0"/>
                <w:sz w:val="18"/>
                <w:szCs w:val="18"/>
                <w:shd w:val="clear" w:color="auto" w:fill="auto"/>
                <w:lang w:val="en-US" w:eastAsia="zh-CN"/>
              </w:rPr>
              <w:t>2要求</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spacing w:val="0"/>
                <w:sz w:val="18"/>
                <w:szCs w:val="18"/>
                <w:shd w:val="clear" w:color="auto" w:fil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eastAsia="zh-CN"/>
              </w:rPr>
            </w:pPr>
          </w:p>
        </w:tc>
        <w:tc>
          <w:tcPr>
            <w:tcW w:w="602"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en-US" w:bidi="ar-SA"/>
              </w:rPr>
            </w:pPr>
            <w:r>
              <w:rPr>
                <w:rFonts w:hint="eastAsia" w:ascii="宋体" w:hAnsi="宋体" w:eastAsia="宋体" w:cs="宋体"/>
                <w:spacing w:val="0"/>
                <w:sz w:val="18"/>
                <w:szCs w:val="18"/>
                <w:shd w:val="clear" w:color="auto" w:fill="auto"/>
                <w:lang w:val="zh-CN"/>
              </w:rPr>
              <w:t>门、盖的气密性</w:t>
            </w:r>
          </w:p>
        </w:tc>
        <w:tc>
          <w:tcPr>
            <w:tcW w:w="1766" w:type="pct"/>
            <w:gridSpan w:val="3"/>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rPr>
              <w:t>门封或盖封应有良好的气密性。当箱门（或盖）关闭后，门封（或盖封）四周应严密，按</w:t>
            </w:r>
            <w:r>
              <w:rPr>
                <w:rFonts w:hint="eastAsia" w:ascii="宋体" w:hAnsi="宋体" w:eastAsia="宋体" w:cs="宋体"/>
                <w:color w:val="auto"/>
                <w:sz w:val="18"/>
                <w:szCs w:val="18"/>
                <w:lang w:val="en-US" w:eastAsia="zh-CN"/>
              </w:rPr>
              <w:t>6</w:t>
            </w:r>
            <w:r>
              <w:rPr>
                <w:rFonts w:hint="eastAsia" w:ascii="宋体" w:hAnsi="宋体" w:eastAsia="宋体" w:cs="宋体"/>
                <w:color w:val="auto"/>
                <w:sz w:val="18"/>
                <w:szCs w:val="18"/>
              </w:rPr>
              <w:t>.7.1的方法进行气密性试验时，试验纸片不应自由滑动</w:t>
            </w:r>
          </w:p>
        </w:tc>
        <w:tc>
          <w:tcPr>
            <w:tcW w:w="1901"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bookmarkStart w:id="5" w:name="OLE_LINK3"/>
            <w:r>
              <w:rPr>
                <w:rFonts w:hint="eastAsia" w:ascii="宋体" w:hAnsi="宋体" w:eastAsia="宋体" w:cs="宋体"/>
                <w:color w:val="auto"/>
                <w:sz w:val="18"/>
                <w:szCs w:val="18"/>
                <w:lang w:eastAsia="zh-CN"/>
              </w:rPr>
              <w:t>GB</w:t>
            </w:r>
            <w:r>
              <w:rPr>
                <w:rFonts w:hint="default" w:ascii="宋体" w:hAnsi="宋体" w:eastAsia="宋体" w:cs="宋体"/>
                <w:color w:val="auto"/>
                <w:sz w:val="18"/>
                <w:szCs w:val="18"/>
                <w:lang w:val="en-US" w:eastAsia="zh-CN"/>
              </w:rPr>
              <w:t>/</w:t>
            </w:r>
            <w:r>
              <w:rPr>
                <w:rFonts w:hint="eastAsia" w:ascii="宋体" w:hAnsi="宋体" w:eastAsia="宋体" w:cs="宋体"/>
                <w:color w:val="auto"/>
                <w:sz w:val="18"/>
                <w:szCs w:val="18"/>
                <w:lang w:eastAsia="zh-CN"/>
              </w:rPr>
              <w:t>T 21001.2-2015中</w:t>
            </w:r>
            <w:bookmarkEnd w:id="5"/>
            <w:r>
              <w:rPr>
                <w:rFonts w:hint="eastAsia" w:ascii="宋体" w:hAnsi="宋体" w:eastAsia="宋体" w:cs="宋体"/>
                <w:color w:val="auto"/>
                <w:sz w:val="18"/>
                <w:szCs w:val="18"/>
                <w:lang w:val="en-US" w:eastAsia="zh-CN"/>
              </w:rPr>
              <w:t>4.1.1.4</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所有的门和盖应密封以保证制冷空间封闭,防止环境空气非正常渗入。</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Times New Roman"/>
                <w:spacing w:val="0"/>
                <w:sz w:val="18"/>
                <w:szCs w:val="18"/>
                <w:shd w:val="clear" w:color="auto" w:fill="auto"/>
                <w:lang w:val="en-US" w:eastAsia="zh-CN" w:bidi="ar-SA"/>
              </w:rPr>
            </w:pPr>
            <w:r>
              <w:rPr>
                <w:rFonts w:hint="eastAsia" w:ascii="宋体" w:hAnsi="宋体"/>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eastAsia="zh-CN"/>
              </w:rPr>
            </w:pPr>
          </w:p>
        </w:tc>
        <w:tc>
          <w:tcPr>
            <w:tcW w:w="602"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val="zh-CN" w:eastAsia="zh-CN" w:bidi="ar-SA"/>
              </w:rPr>
            </w:pPr>
            <w:r>
              <w:rPr>
                <w:rFonts w:hint="eastAsia" w:ascii="宋体" w:hAnsi="宋体" w:cs="宋体"/>
                <w:spacing w:val="0"/>
                <w:sz w:val="18"/>
                <w:szCs w:val="18"/>
                <w:shd w:val="clear" w:color="auto" w:fill="auto"/>
                <w:lang w:val="zh-CN"/>
              </w:rPr>
              <w:t>电气</w:t>
            </w:r>
            <w:r>
              <w:rPr>
                <w:rFonts w:hint="eastAsia" w:ascii="宋体" w:hAnsi="宋体" w:eastAsia="宋体" w:cs="宋体"/>
                <w:spacing w:val="0"/>
                <w:sz w:val="18"/>
                <w:szCs w:val="18"/>
                <w:shd w:val="clear" w:color="auto" w:fill="auto"/>
                <w:lang w:val="zh-CN"/>
              </w:rPr>
              <w:t>安全</w:t>
            </w:r>
          </w:p>
        </w:tc>
        <w:tc>
          <w:tcPr>
            <w:tcW w:w="1766" w:type="pct"/>
            <w:gridSpan w:val="3"/>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rPr>
              <w:t>应符合GB 4706.1、GB 4706.102的要求</w:t>
            </w:r>
          </w:p>
        </w:tc>
        <w:tc>
          <w:tcPr>
            <w:tcW w:w="1901"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eastAsia="zh-CN"/>
              </w:rPr>
              <w:t>GB</w:t>
            </w:r>
            <w:r>
              <w:rPr>
                <w:rFonts w:hint="default" w:ascii="宋体" w:hAnsi="宋体" w:eastAsia="宋体" w:cs="宋体"/>
                <w:color w:val="auto"/>
                <w:sz w:val="18"/>
                <w:szCs w:val="18"/>
                <w:lang w:val="en-US" w:eastAsia="zh-CN"/>
              </w:rPr>
              <w:t>/</w:t>
            </w:r>
            <w:r>
              <w:rPr>
                <w:rFonts w:hint="eastAsia" w:ascii="宋体" w:hAnsi="宋体" w:eastAsia="宋体" w:cs="宋体"/>
                <w:color w:val="auto"/>
                <w:sz w:val="18"/>
                <w:szCs w:val="18"/>
                <w:lang w:eastAsia="zh-CN"/>
              </w:rPr>
              <w:t>T 21001.2-2015中</w:t>
            </w:r>
            <w:r>
              <w:rPr>
                <w:rFonts w:hint="eastAsia" w:ascii="宋体" w:hAnsi="宋体" w:eastAsia="宋体" w:cs="宋体"/>
                <w:color w:val="auto"/>
                <w:sz w:val="18"/>
                <w:szCs w:val="18"/>
                <w:lang w:val="en-US" w:eastAsia="zh-CN"/>
              </w:rPr>
              <w:t>4.1.5 电器部件</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val="en-US" w:eastAsia="zh-CN"/>
              </w:rPr>
              <w:t>电器部件应符合EN60335-1和IEC60335-2-89的要求</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spacing w:val="0"/>
                <w:sz w:val="18"/>
                <w:szCs w:val="18"/>
                <w:shd w:val="clear" w:color="auto" w:fill="auto"/>
                <w:lang w:eastAsia="zh-CN"/>
              </w:rPr>
            </w:pPr>
            <w:r>
              <w:rPr>
                <w:rFonts w:hint="eastAsia" w:ascii="宋体" w:hAnsi="宋体"/>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restart"/>
            <w:shd w:val="clear" w:color="auto" w:fill="auto"/>
            <w:vAlign w:val="center"/>
          </w:tcPr>
          <w:p>
            <w:pPr>
              <w:keepNext w:val="0"/>
              <w:keepLines w:val="0"/>
              <w:pageBreakBefore w:val="0"/>
              <w:kinsoku/>
              <w:wordWrap/>
              <w:overflowPunct/>
              <w:topLinePunct w:val="0"/>
              <w:bidi w:val="0"/>
              <w:jc w:val="center"/>
              <w:textAlignment w:val="auto"/>
              <w:rPr>
                <w:rFonts w:ascii="宋体" w:hAnsi="宋体" w:cs="宋体"/>
                <w:spacing w:val="0"/>
                <w:sz w:val="18"/>
                <w:szCs w:val="18"/>
                <w:shd w:val="clear" w:color="auto" w:fill="auto"/>
                <w:lang w:val="zh-CN" w:eastAsia="zh-CN"/>
              </w:rPr>
            </w:pPr>
            <w:r>
              <w:rPr>
                <w:rFonts w:hint="eastAsia" w:ascii="宋体" w:hAnsi="宋体" w:cs="宋体"/>
                <w:spacing w:val="0"/>
                <w:sz w:val="18"/>
                <w:szCs w:val="18"/>
                <w:shd w:val="clear" w:color="auto" w:fill="auto"/>
                <w:lang w:val="zh-CN" w:eastAsia="zh-CN"/>
              </w:rPr>
              <w:t>关键</w:t>
            </w:r>
          </w:p>
          <w:p>
            <w:pPr>
              <w:keepNext w:val="0"/>
              <w:keepLines w:val="0"/>
              <w:pageBreakBefore w:val="0"/>
              <w:kinsoku/>
              <w:wordWrap/>
              <w:overflowPunct/>
              <w:topLinePunct w:val="0"/>
              <w:bidi w:val="0"/>
              <w:jc w:val="center"/>
              <w:textAlignment w:val="auto"/>
              <w:rPr>
                <w:rFonts w:ascii="宋体" w:hAnsi="宋体" w:cs="宋体"/>
                <w:spacing w:val="0"/>
                <w:sz w:val="18"/>
                <w:szCs w:val="18"/>
                <w:shd w:val="clear" w:color="auto" w:fill="auto"/>
                <w:lang w:val="zh-CN" w:eastAsia="zh-CN"/>
              </w:rPr>
            </w:pPr>
            <w:r>
              <w:rPr>
                <w:rFonts w:hint="eastAsia" w:ascii="宋体" w:hAnsi="宋体" w:cs="宋体"/>
                <w:spacing w:val="0"/>
                <w:sz w:val="18"/>
                <w:szCs w:val="18"/>
                <w:shd w:val="clear" w:color="auto" w:fill="auto"/>
                <w:lang w:val="zh-CN" w:eastAsia="zh-CN"/>
              </w:rPr>
              <w:t>指标</w:t>
            </w:r>
          </w:p>
        </w:tc>
        <w:tc>
          <w:tcPr>
            <w:tcW w:w="602"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rPr>
            </w:pPr>
            <w:r>
              <w:rPr>
                <w:rFonts w:hint="eastAsia" w:ascii="宋体" w:hAnsi="宋体" w:eastAsia="宋体" w:cs="宋体"/>
                <w:spacing w:val="0"/>
                <w:sz w:val="18"/>
                <w:szCs w:val="18"/>
                <w:shd w:val="clear" w:color="auto" w:fill="auto"/>
                <w:lang w:val="zh-CN"/>
              </w:rPr>
              <w:t>温度</w:t>
            </w:r>
          </w:p>
        </w:tc>
        <w:tc>
          <w:tcPr>
            <w:tcW w:w="1766" w:type="pct"/>
            <w:gridSpan w:val="3"/>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rPr>
              <w:t>按</w:t>
            </w:r>
            <w:r>
              <w:rPr>
                <w:rFonts w:hint="eastAsia" w:ascii="宋体" w:hAnsi="宋体" w:eastAsia="宋体" w:cs="宋体"/>
                <w:color w:val="auto"/>
                <w:sz w:val="18"/>
                <w:szCs w:val="18"/>
                <w:lang w:val="en-US" w:eastAsia="zh-CN"/>
              </w:rPr>
              <w:t>6.5.1</w:t>
            </w:r>
            <w:r>
              <w:rPr>
                <w:rFonts w:hint="eastAsia" w:ascii="宋体" w:hAnsi="宋体" w:eastAsia="宋体" w:cs="宋体"/>
                <w:color w:val="auto"/>
                <w:sz w:val="18"/>
                <w:szCs w:val="18"/>
              </w:rPr>
              <w:t>进行试验时，各个间室的温度试验应符合表1的要求</w:t>
            </w:r>
          </w:p>
        </w:tc>
        <w:tc>
          <w:tcPr>
            <w:tcW w:w="1901"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default" w:ascii="宋体" w:hAnsi="宋体" w:eastAsia="宋体" w:cs="宋体"/>
                <w:color w:val="auto"/>
                <w:sz w:val="18"/>
                <w:szCs w:val="18"/>
                <w:lang w:val="en-US" w:eastAsia="zh-CN"/>
              </w:rPr>
            </w:pPr>
            <w:r>
              <w:rPr>
                <w:rFonts w:hint="eastAsia" w:ascii="宋体" w:hAnsi="宋体" w:eastAsia="宋体" w:cs="宋体"/>
                <w:color w:val="auto"/>
                <w:sz w:val="18"/>
                <w:szCs w:val="18"/>
                <w:lang w:eastAsia="zh-CN"/>
              </w:rPr>
              <w:t>GB</w:t>
            </w:r>
            <w:r>
              <w:rPr>
                <w:rFonts w:hint="default" w:ascii="宋体" w:hAnsi="宋体" w:eastAsia="宋体" w:cs="宋体"/>
                <w:color w:val="auto"/>
                <w:sz w:val="18"/>
                <w:szCs w:val="18"/>
                <w:lang w:val="en-US" w:eastAsia="zh-CN"/>
              </w:rPr>
              <w:t>/</w:t>
            </w:r>
            <w:r>
              <w:rPr>
                <w:rFonts w:hint="eastAsia" w:ascii="宋体" w:hAnsi="宋体" w:eastAsia="宋体" w:cs="宋体"/>
                <w:color w:val="auto"/>
                <w:sz w:val="18"/>
                <w:szCs w:val="18"/>
                <w:lang w:eastAsia="zh-CN"/>
              </w:rPr>
              <w:t>T 21001.2-2015中</w:t>
            </w:r>
            <w:r>
              <w:rPr>
                <w:rFonts w:hint="eastAsia" w:ascii="宋体" w:hAnsi="宋体" w:eastAsia="宋体" w:cs="宋体"/>
                <w:color w:val="auto"/>
                <w:sz w:val="18"/>
                <w:szCs w:val="18"/>
                <w:lang w:val="en-US" w:eastAsia="zh-CN"/>
              </w:rPr>
              <w:t>4.2.2</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eastAsia="zh-CN"/>
              </w:rPr>
              <w:t>SB/T 10794.2-2012</w:t>
            </w:r>
            <w:r>
              <w:rPr>
                <w:rFonts w:hint="eastAsia" w:ascii="宋体" w:hAnsi="宋体" w:eastAsia="宋体" w:cs="宋体"/>
                <w:color w:val="auto"/>
                <w:sz w:val="18"/>
                <w:szCs w:val="18"/>
                <w:lang w:val="en-US" w:eastAsia="zh-CN"/>
              </w:rPr>
              <w:t>中4.2.2规定的内容</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default" w:ascii="宋体" w:hAnsi="宋体" w:eastAsia="宋体" w:cs="宋体"/>
                <w:color w:val="auto"/>
                <w:sz w:val="18"/>
                <w:szCs w:val="18"/>
                <w:lang w:val="en-US" w:eastAsia="zh-CN"/>
              </w:rPr>
            </w:pPr>
            <w:r>
              <w:rPr>
                <w:rFonts w:hint="eastAsia" w:ascii="宋体" w:hAnsi="宋体" w:eastAsia="宋体" w:cs="宋体"/>
                <w:color w:val="auto"/>
                <w:sz w:val="18"/>
                <w:szCs w:val="18"/>
                <w:lang w:eastAsia="zh-CN"/>
              </w:rPr>
              <w:t>SB/T 10794.</w:t>
            </w:r>
            <w:r>
              <w:rPr>
                <w:rFonts w:hint="eastAsia" w:ascii="宋体" w:hAnsi="宋体" w:eastAsia="宋体" w:cs="宋体"/>
                <w:color w:val="auto"/>
                <w:sz w:val="18"/>
                <w:szCs w:val="18"/>
                <w:lang w:val="en-US" w:eastAsia="zh-CN"/>
              </w:rPr>
              <w:t>3</w:t>
            </w:r>
            <w:r>
              <w:rPr>
                <w:rFonts w:hint="eastAsia" w:ascii="宋体" w:hAnsi="宋体" w:eastAsia="宋体" w:cs="宋体"/>
                <w:color w:val="auto"/>
                <w:sz w:val="18"/>
                <w:szCs w:val="18"/>
                <w:lang w:eastAsia="zh-CN"/>
              </w:rPr>
              <w:t>-2012中表</w:t>
            </w:r>
            <w:r>
              <w:rPr>
                <w:rFonts w:hint="eastAsia" w:ascii="宋体" w:hAnsi="宋体" w:eastAsia="宋体" w:cs="宋体"/>
                <w:color w:val="auto"/>
                <w:sz w:val="18"/>
                <w:szCs w:val="18"/>
                <w:lang w:val="en-US" w:eastAsia="zh-CN"/>
              </w:rPr>
              <w:t>2要求</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spacing w:val="0"/>
                <w:sz w:val="18"/>
                <w:szCs w:val="18"/>
                <w:shd w:val="clear" w:color="auto" w:fill="auto"/>
                <w:lang w:eastAsia="zh-CN"/>
              </w:rPr>
            </w:pPr>
            <w:r>
              <w:rPr>
                <w:rFonts w:hint="eastAsia" w:ascii="宋体" w:hAnsi="宋体"/>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p>
        </w:tc>
        <w:tc>
          <w:tcPr>
            <w:tcW w:w="602"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宋体" w:hAnsi="宋体" w:eastAsia="宋体" w:cs="宋体"/>
                <w:spacing w:val="0"/>
                <w:sz w:val="18"/>
                <w:szCs w:val="18"/>
                <w:shd w:val="clear" w:color="auto" w:fill="auto"/>
                <w:lang w:val="zh-CN" w:eastAsia="en-US" w:bidi="ar-SA"/>
              </w:rPr>
            </w:pPr>
            <w:r>
              <w:rPr>
                <w:rFonts w:hint="eastAsia" w:ascii="宋体" w:hAnsi="宋体" w:eastAsia="宋体" w:cs="宋体"/>
                <w:spacing w:val="0"/>
                <w:sz w:val="18"/>
                <w:szCs w:val="18"/>
                <w:shd w:val="clear" w:color="auto" w:fill="auto"/>
                <w:lang w:val="zh-CN"/>
              </w:rPr>
              <w:t>启动性能</w:t>
            </w:r>
          </w:p>
        </w:tc>
        <w:tc>
          <w:tcPr>
            <w:tcW w:w="1766" w:type="pct"/>
            <w:gridSpan w:val="3"/>
            <w:shd w:val="clear" w:color="auto" w:fill="auto"/>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rPr>
              <w:t>应具有良好的启动性能，按</w:t>
            </w:r>
            <w:r>
              <w:rPr>
                <w:rFonts w:hint="eastAsia" w:ascii="宋体" w:hAnsi="宋体" w:eastAsia="宋体" w:cs="宋体"/>
                <w:color w:val="auto"/>
                <w:sz w:val="18"/>
                <w:szCs w:val="18"/>
                <w:lang w:val="en-US" w:eastAsia="zh-CN"/>
              </w:rPr>
              <w:t>6.5.2</w:t>
            </w:r>
            <w:r>
              <w:rPr>
                <w:rFonts w:hint="eastAsia" w:ascii="宋体" w:hAnsi="宋体" w:eastAsia="宋体" w:cs="宋体"/>
                <w:color w:val="auto"/>
                <w:sz w:val="18"/>
                <w:szCs w:val="18"/>
              </w:rPr>
              <w:t>的方法进行降电压15%启动试验时，商用冷柜应能正常起动降温，装在商用冷柜上的任何保护装置不应动作</w:t>
            </w:r>
          </w:p>
        </w:tc>
        <w:tc>
          <w:tcPr>
            <w:tcW w:w="1901"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SB/T 10794.2-2012</w:t>
            </w:r>
            <w:r>
              <w:rPr>
                <w:rFonts w:hint="eastAsia" w:ascii="宋体" w:hAnsi="宋体" w:eastAsia="宋体" w:cs="宋体"/>
                <w:color w:val="auto"/>
                <w:sz w:val="18"/>
                <w:szCs w:val="18"/>
                <w:lang w:val="en-US" w:eastAsia="zh-CN"/>
              </w:rPr>
              <w:t>中</w:t>
            </w:r>
            <w:r>
              <w:rPr>
                <w:rFonts w:hint="eastAsia" w:ascii="宋体" w:hAnsi="宋体" w:eastAsia="宋体" w:cs="宋体"/>
                <w:color w:val="auto"/>
                <w:sz w:val="18"/>
                <w:szCs w:val="18"/>
                <w:lang w:eastAsia="zh-CN"/>
              </w:rPr>
              <w:t>4.2.13 启动性能</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eastAsia="zh-CN"/>
              </w:rPr>
              <w:t>冷柜应具有良好的启动性能,按5.3.18进行降电压10%启动试验时,冷柜应能正常起动降温,装在冷柜上的任何保护装置不应动作。</w:t>
            </w:r>
          </w:p>
        </w:tc>
        <w:tc>
          <w:tcPr>
            <w:tcW w:w="42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Times New Roman"/>
                <w:spacing w:val="0"/>
                <w:sz w:val="18"/>
                <w:szCs w:val="18"/>
                <w:shd w:val="clear" w:color="auto" w:fill="auto"/>
                <w:lang w:val="en-US" w:eastAsia="zh-CN" w:bidi="ar-SA"/>
              </w:rPr>
            </w:pPr>
            <w:r>
              <w:rPr>
                <w:rFonts w:hint="eastAsia" w:ascii="宋体" w:hAnsi="宋体"/>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ascii="宋体" w:hAnsi="宋体" w:cs="宋体"/>
                <w:spacing w:val="0"/>
                <w:sz w:val="18"/>
                <w:szCs w:val="18"/>
                <w:shd w:val="clear" w:color="auto" w:fill="auto"/>
                <w:lang w:val="zh-CN" w:eastAsia="zh-CN"/>
              </w:rPr>
            </w:pPr>
          </w:p>
        </w:tc>
        <w:tc>
          <w:tcPr>
            <w:tcW w:w="602"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r>
              <w:rPr>
                <w:rFonts w:hint="eastAsia" w:ascii="宋体" w:hAnsi="宋体" w:cs="宋体"/>
                <w:spacing w:val="0"/>
                <w:sz w:val="18"/>
                <w:szCs w:val="18"/>
                <w:shd w:val="clear" w:color="auto" w:fill="auto"/>
                <w:lang w:val="zh-CN"/>
              </w:rPr>
              <w:t>耗电量</w:t>
            </w:r>
          </w:p>
        </w:tc>
        <w:tc>
          <w:tcPr>
            <w:tcW w:w="1766"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rPr>
              <w:t>按6.5.8的方法进行试验，耗电量应不大于额定值</w:t>
            </w:r>
          </w:p>
        </w:tc>
        <w:tc>
          <w:tcPr>
            <w:tcW w:w="1901"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GB/T 21001.2-2015中4.2.2 能耗</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val="en-US" w:eastAsia="zh-CN"/>
              </w:rPr>
              <w:t>按 GB/T 21001.2-2015的规定,陈列柜的排热率和电能消耗实际测量均不应超过额定值。</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ascii="宋体" w:hAnsi="宋体" w:cs="宋体"/>
                <w:spacing w:val="0"/>
                <w:sz w:val="18"/>
                <w:szCs w:val="18"/>
                <w:shd w:val="clear" w:color="auto" w:fill="auto"/>
                <w:lang w:eastAsia="zh-CN"/>
              </w:rPr>
            </w:pPr>
            <w:r>
              <w:rPr>
                <w:rFonts w:hint="eastAsia" w:ascii="宋体" w:hAnsi="宋体" w:cs="宋体"/>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ascii="宋体" w:hAnsi="宋体" w:cs="宋体"/>
                <w:spacing w:val="0"/>
                <w:sz w:val="18"/>
                <w:szCs w:val="18"/>
                <w:shd w:val="clear" w:color="auto" w:fill="auto"/>
                <w:lang w:val="zh-CN" w:eastAsia="zh-CN"/>
              </w:rPr>
            </w:pPr>
          </w:p>
        </w:tc>
        <w:tc>
          <w:tcPr>
            <w:tcW w:w="602"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r>
              <w:rPr>
                <w:rFonts w:hint="eastAsia" w:ascii="宋体" w:hAnsi="宋体" w:eastAsia="宋体" w:cs="宋体"/>
                <w:spacing w:val="0"/>
                <w:sz w:val="18"/>
                <w:szCs w:val="18"/>
                <w:shd w:val="clear" w:color="auto" w:fill="auto"/>
                <w:lang w:val="zh-CN"/>
              </w:rPr>
              <w:t>能效指数</w:t>
            </w:r>
          </w:p>
        </w:tc>
        <w:tc>
          <w:tcPr>
            <w:tcW w:w="1766"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rPr>
              <w:t>按6.5.8的方法试验，能效指数应不大于53%</w:t>
            </w:r>
          </w:p>
        </w:tc>
        <w:tc>
          <w:tcPr>
            <w:tcW w:w="1901"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eastAsia="zh-CN"/>
              </w:rPr>
              <w:t>GB</w:t>
            </w:r>
            <w:r>
              <w:rPr>
                <w:rFonts w:hint="default" w:ascii="宋体" w:hAnsi="宋体" w:eastAsia="宋体" w:cs="宋体"/>
                <w:color w:val="auto"/>
                <w:sz w:val="18"/>
                <w:szCs w:val="18"/>
                <w:lang w:val="en-US" w:eastAsia="zh-CN"/>
              </w:rPr>
              <w:t>/</w:t>
            </w:r>
            <w:r>
              <w:rPr>
                <w:rFonts w:hint="eastAsia" w:ascii="宋体" w:hAnsi="宋体" w:eastAsia="宋体" w:cs="宋体"/>
                <w:color w:val="auto"/>
                <w:sz w:val="18"/>
                <w:szCs w:val="18"/>
                <w:lang w:eastAsia="zh-CN"/>
              </w:rPr>
              <w:t>T 21001.2-2015中</w:t>
            </w:r>
            <w:r>
              <w:rPr>
                <w:rFonts w:hint="eastAsia" w:ascii="宋体" w:hAnsi="宋体" w:eastAsia="宋体" w:cs="宋体"/>
                <w:color w:val="auto"/>
                <w:sz w:val="18"/>
                <w:szCs w:val="18"/>
                <w:lang w:val="en-US" w:eastAsia="zh-CN"/>
              </w:rPr>
              <w:t>4.2.3能效</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按 GB/T 21001.2-2015 的试验友法得出的能耗系数不应超过额定值,能效等级应符合 GB 26920 的要求。</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cs="宋体"/>
                <w:spacing w:val="0"/>
                <w:sz w:val="18"/>
                <w:szCs w:val="18"/>
                <w:shd w:val="clear" w:color="auto" w:fill="auto"/>
                <w:lang w:eastAsia="zh-CN"/>
              </w:rPr>
            </w:pPr>
            <w:r>
              <w:rPr>
                <w:rFonts w:hint="eastAsia" w:ascii="宋体" w:hAnsi="宋体" w:cs="宋体"/>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51"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ascii="宋体" w:hAnsi="宋体" w:cs="宋体"/>
                <w:spacing w:val="0"/>
                <w:sz w:val="18"/>
                <w:szCs w:val="18"/>
                <w:shd w:val="clear" w:color="auto" w:fill="auto"/>
                <w:lang w:val="zh-CN" w:eastAsia="zh-CN"/>
              </w:rPr>
            </w:pPr>
          </w:p>
        </w:tc>
        <w:tc>
          <w:tcPr>
            <w:tcW w:w="602"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r>
              <w:rPr>
                <w:rFonts w:hint="eastAsia" w:ascii="宋体" w:hAnsi="宋体" w:eastAsia="宋体" w:cs="宋体"/>
                <w:spacing w:val="0"/>
                <w:sz w:val="18"/>
                <w:szCs w:val="18"/>
                <w:shd w:val="clear" w:color="auto" w:fill="auto"/>
                <w:lang w:val="zh-CN"/>
              </w:rPr>
              <w:t>制冷系统密封性</w:t>
            </w:r>
          </w:p>
        </w:tc>
        <w:tc>
          <w:tcPr>
            <w:tcW w:w="1766"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rPr>
              <w:t>制冷系统按</w:t>
            </w:r>
            <w:r>
              <w:rPr>
                <w:rFonts w:hint="eastAsia" w:ascii="宋体" w:hAnsi="宋体" w:eastAsia="宋体" w:cs="宋体"/>
                <w:color w:val="auto"/>
                <w:sz w:val="18"/>
                <w:szCs w:val="18"/>
                <w:lang w:val="en-US" w:eastAsia="zh-CN"/>
              </w:rPr>
              <w:t>6</w:t>
            </w:r>
            <w:r>
              <w:rPr>
                <w:rFonts w:hint="eastAsia" w:ascii="宋体" w:hAnsi="宋体" w:eastAsia="宋体" w:cs="宋体"/>
                <w:color w:val="auto"/>
                <w:sz w:val="18"/>
                <w:szCs w:val="18"/>
              </w:rPr>
              <w:t>.7.2的方法进行密封性试验后，任何部位制冷剂年泄漏量均应不大于0.5g</w:t>
            </w:r>
          </w:p>
        </w:tc>
        <w:tc>
          <w:tcPr>
            <w:tcW w:w="1901"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SB/T 10794.2-2012</w:t>
            </w:r>
            <w:r>
              <w:rPr>
                <w:rFonts w:hint="eastAsia" w:ascii="宋体" w:hAnsi="宋体" w:eastAsia="宋体" w:cs="宋体"/>
                <w:color w:val="auto"/>
                <w:sz w:val="18"/>
                <w:szCs w:val="18"/>
                <w:lang w:val="en-US" w:eastAsia="zh-CN"/>
              </w:rPr>
              <w:t>中</w:t>
            </w:r>
            <w:r>
              <w:rPr>
                <w:rFonts w:hint="eastAsia" w:ascii="宋体" w:hAnsi="宋体" w:eastAsia="宋体" w:cs="宋体"/>
                <w:color w:val="auto"/>
                <w:sz w:val="18"/>
                <w:szCs w:val="18"/>
                <w:lang w:eastAsia="zh-CN"/>
              </w:rPr>
              <w:t>4.1.12.6 制冷系统密封性能应良好,制冷系统的管路,焊接接缝,管件接头等应严格密封。按5.3.11进行单点检漏时,制冷剂年泄漏量不大于0.5g。</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ascii="宋体" w:hAnsi="宋体" w:cs="宋体"/>
                <w:spacing w:val="0"/>
                <w:sz w:val="18"/>
                <w:szCs w:val="18"/>
                <w:shd w:val="clear" w:color="auto" w:fill="auto"/>
                <w:lang w:eastAsia="zh-CN"/>
              </w:rPr>
            </w:pPr>
            <w:r>
              <w:rPr>
                <w:rFonts w:hint="eastAsia" w:ascii="宋体" w:hAnsi="宋体" w:cs="宋体"/>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51"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ascii="宋体" w:hAnsi="宋体" w:cs="宋体"/>
                <w:spacing w:val="0"/>
                <w:sz w:val="18"/>
                <w:szCs w:val="18"/>
                <w:shd w:val="clear" w:color="auto" w:fill="auto"/>
                <w:lang w:val="zh-CN" w:eastAsia="zh-CN"/>
              </w:rPr>
            </w:pPr>
          </w:p>
        </w:tc>
        <w:tc>
          <w:tcPr>
            <w:tcW w:w="602"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en-US" w:eastAsia="zh-CN"/>
              </w:rPr>
            </w:pPr>
            <w:r>
              <w:rPr>
                <w:rFonts w:hint="eastAsia" w:ascii="宋体" w:hAnsi="宋体" w:cs="宋体"/>
                <w:spacing w:val="0"/>
                <w:sz w:val="18"/>
                <w:szCs w:val="18"/>
                <w:shd w:val="clear" w:color="auto" w:fill="auto"/>
                <w:lang w:val="en-US" w:eastAsia="zh-CN"/>
              </w:rPr>
              <w:t>振动</w:t>
            </w:r>
          </w:p>
        </w:tc>
        <w:tc>
          <w:tcPr>
            <w:tcW w:w="1766"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rPr>
              <w:t>应运行平稳。按</w:t>
            </w:r>
            <w:r>
              <w:rPr>
                <w:rFonts w:hint="eastAsia" w:ascii="宋体" w:hAnsi="宋体" w:eastAsia="宋体" w:cs="宋体"/>
                <w:color w:val="auto"/>
                <w:sz w:val="18"/>
                <w:szCs w:val="18"/>
                <w:lang w:val="en-US" w:eastAsia="zh-CN"/>
              </w:rPr>
              <w:t>6</w:t>
            </w:r>
            <w:r>
              <w:rPr>
                <w:rFonts w:hint="eastAsia" w:ascii="宋体" w:hAnsi="宋体" w:eastAsia="宋体" w:cs="宋体"/>
                <w:color w:val="auto"/>
                <w:sz w:val="18"/>
                <w:szCs w:val="18"/>
              </w:rPr>
              <w:t>.</w:t>
            </w:r>
            <w:r>
              <w:rPr>
                <w:rFonts w:hint="eastAsia" w:ascii="宋体" w:hAnsi="宋体" w:eastAsia="宋体" w:cs="宋体"/>
                <w:color w:val="auto"/>
                <w:sz w:val="18"/>
                <w:szCs w:val="18"/>
                <w:lang w:val="en-US" w:eastAsia="zh-CN"/>
              </w:rPr>
              <w:t>6</w:t>
            </w:r>
            <w:r>
              <w:rPr>
                <w:rFonts w:hint="eastAsia" w:ascii="宋体" w:hAnsi="宋体" w:eastAsia="宋体" w:cs="宋体"/>
                <w:color w:val="auto"/>
                <w:sz w:val="18"/>
                <w:szCs w:val="18"/>
              </w:rPr>
              <w:t>.2进行试验时,其振动速度的有效值不大于1.8 mm/s</w:t>
            </w:r>
          </w:p>
        </w:tc>
        <w:tc>
          <w:tcPr>
            <w:tcW w:w="1901"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eastAsia="zh-CN"/>
              </w:rPr>
              <w:t>SB/T 10794.2-2012</w:t>
            </w:r>
            <w:r>
              <w:rPr>
                <w:rFonts w:hint="eastAsia" w:ascii="宋体" w:hAnsi="宋体" w:eastAsia="宋体" w:cs="宋体"/>
                <w:color w:val="auto"/>
                <w:sz w:val="18"/>
                <w:szCs w:val="18"/>
                <w:lang w:val="en-US" w:eastAsia="zh-CN"/>
              </w:rPr>
              <w:t>中4.2.10 振动</w:t>
            </w:r>
          </w:p>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val="en-US" w:eastAsia="zh-CN"/>
              </w:rPr>
              <w:t>冷柜应运行平稳。按5.3.15进行试验时,其振动速度的有效值不大于1.8mm/s。</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val="en-US" w:eastAsia="zh-CN"/>
              </w:rPr>
            </w:pPr>
            <w:r>
              <w:rPr>
                <w:rFonts w:hint="eastAsia" w:ascii="宋体" w:hAnsi="宋体" w:cs="宋体"/>
                <w:spacing w:val="0"/>
                <w:sz w:val="18"/>
                <w:szCs w:val="18"/>
                <w:shd w:val="clear" w:color="auto" w:fill="auto"/>
                <w:lang w:val="en-US"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51" w:hRule="atLeast"/>
          <w:jc w:val="center"/>
        </w:trPr>
        <w:tc>
          <w:tcPr>
            <w:tcW w:w="305" w:type="pct"/>
            <w:vMerge w:val="restart"/>
            <w:shd w:val="clear" w:color="auto" w:fill="auto"/>
            <w:vAlign w:val="center"/>
          </w:tcPr>
          <w:p>
            <w:pPr>
              <w:keepNext w:val="0"/>
              <w:keepLines w:val="0"/>
              <w:pageBreakBefore w:val="0"/>
              <w:kinsoku/>
              <w:wordWrap/>
              <w:overflowPunct/>
              <w:topLinePunct w:val="0"/>
              <w:bidi w:val="0"/>
              <w:jc w:val="center"/>
              <w:textAlignment w:val="auto"/>
              <w:rPr>
                <w:rFonts w:ascii="宋体" w:hAnsi="宋体" w:cs="宋体"/>
                <w:spacing w:val="0"/>
                <w:sz w:val="18"/>
                <w:szCs w:val="18"/>
                <w:shd w:val="clear" w:color="auto" w:fill="auto"/>
                <w:lang w:val="zh-CN" w:eastAsia="zh-CN"/>
              </w:rPr>
            </w:pPr>
          </w:p>
        </w:tc>
        <w:tc>
          <w:tcPr>
            <w:tcW w:w="602" w:type="pct"/>
            <w:vMerge w:val="restar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spacing w:val="0"/>
                <w:sz w:val="18"/>
                <w:szCs w:val="18"/>
                <w:shd w:val="clear" w:color="auto" w:fill="auto"/>
                <w:lang w:val="zh-CN"/>
              </w:rPr>
              <w:t>噪声</w:t>
            </w:r>
          </w:p>
        </w:tc>
        <w:tc>
          <w:tcPr>
            <w:tcW w:w="1766"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zh-CN" w:eastAsia="zh-CN"/>
              </w:rPr>
              <w:t>标准中表</w:t>
            </w:r>
            <w:r>
              <w:rPr>
                <w:rFonts w:hint="eastAsia" w:ascii="宋体" w:hAnsi="宋体" w:eastAsia="宋体" w:cs="宋体"/>
                <w:color w:val="auto"/>
                <w:sz w:val="18"/>
                <w:szCs w:val="18"/>
                <w:lang w:val="en-US" w:eastAsia="zh-CN"/>
              </w:rPr>
              <w:t>2规定的噪声</w:t>
            </w:r>
          </w:p>
        </w:tc>
        <w:tc>
          <w:tcPr>
            <w:tcW w:w="1901"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eastAsia="zh-CN"/>
              </w:rPr>
              <w:t>SB/T 10794.2-2012</w:t>
            </w:r>
            <w:r>
              <w:rPr>
                <w:rFonts w:hint="eastAsia" w:ascii="宋体" w:hAnsi="宋体" w:eastAsia="宋体" w:cs="宋体"/>
                <w:color w:val="auto"/>
                <w:sz w:val="18"/>
                <w:szCs w:val="18"/>
                <w:lang w:val="en-US" w:eastAsia="zh-CN"/>
              </w:rPr>
              <w:t>中4.2.11规定的内容</w:t>
            </w:r>
          </w:p>
        </w:tc>
        <w:tc>
          <w:tcPr>
            <w:tcW w:w="424" w:type="pct"/>
            <w:vMerge w:val="restar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cs="宋体"/>
                <w:spacing w:val="0"/>
                <w:sz w:val="18"/>
                <w:szCs w:val="18"/>
                <w:shd w:val="clear" w:color="auto" w:fill="auto"/>
                <w:lang w:eastAsia="zh-CN"/>
              </w:rPr>
            </w:pPr>
            <w:r>
              <w:rPr>
                <w:rFonts w:hint="eastAsia" w:ascii="宋体" w:hAnsi="宋体" w:cs="宋体"/>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43"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ascii="宋体" w:hAnsi="宋体" w:cs="宋体"/>
                <w:spacing w:val="0"/>
                <w:sz w:val="18"/>
                <w:szCs w:val="18"/>
                <w:shd w:val="clear" w:color="auto" w:fill="auto"/>
                <w:lang w:val="zh-CN" w:eastAsia="zh-CN"/>
              </w:rPr>
            </w:pPr>
          </w:p>
        </w:tc>
        <w:tc>
          <w:tcPr>
            <w:tcW w:w="602"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val="en-US" w:eastAsia="zh-CN" w:bidi="ar-SA"/>
              </w:rPr>
            </w:pPr>
          </w:p>
        </w:tc>
        <w:tc>
          <w:tcPr>
            <w:tcW w:w="633" w:type="pct"/>
            <w:vMerge w:val="restar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zh-CN" w:eastAsia="zh-CN"/>
              </w:rPr>
              <w:t>冷凝机组及风扇P（kW）</w:t>
            </w:r>
          </w:p>
        </w:tc>
        <w:tc>
          <w:tcPr>
            <w:tcW w:w="1132" w:type="pct"/>
            <w:gridSpan w:val="2"/>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val="zh-CN" w:eastAsia="zh-CN"/>
              </w:rPr>
              <w:t>噪声声压级，dB（A）</w:t>
            </w:r>
          </w:p>
        </w:tc>
        <w:tc>
          <w:tcPr>
            <w:tcW w:w="680"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default" w:ascii="宋体" w:hAnsi="宋体" w:eastAsia="宋体" w:cs="宋体"/>
                <w:color w:val="auto"/>
                <w:sz w:val="18"/>
                <w:szCs w:val="18"/>
                <w:lang w:val="en-US" w:eastAsia="zh-CN"/>
              </w:rPr>
            </w:pPr>
          </w:p>
        </w:tc>
        <w:tc>
          <w:tcPr>
            <w:tcW w:w="1220" w:type="pct"/>
            <w:gridSpan w:val="2"/>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val="zh-CN" w:eastAsia="zh-CN"/>
              </w:rPr>
              <w:t>噪声声压级，dB（A）</w:t>
            </w:r>
          </w:p>
        </w:tc>
        <w:tc>
          <w:tcPr>
            <w:tcW w:w="424"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cs="宋体"/>
                <w:spacing w:val="0"/>
                <w:sz w:val="18"/>
                <w:szCs w:val="18"/>
                <w:shd w:val="clear" w:color="auto" w:fil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43" w:hRule="atLeast"/>
          <w:jc w:val="center"/>
        </w:trPr>
        <w:tc>
          <w:tcPr>
            <w:tcW w:w="305"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spacing w:val="0"/>
                <w:sz w:val="18"/>
                <w:szCs w:val="18"/>
                <w:shd w:val="clear" w:color="auto" w:fill="auto"/>
              </w:rPr>
            </w:pPr>
          </w:p>
        </w:tc>
        <w:tc>
          <w:tcPr>
            <w:tcW w:w="602"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spacing w:val="0"/>
                <w:sz w:val="18"/>
                <w:szCs w:val="18"/>
                <w:shd w:val="clear" w:color="auto" w:fill="auto"/>
              </w:rPr>
            </w:pPr>
          </w:p>
        </w:tc>
        <w:tc>
          <w:tcPr>
            <w:tcW w:w="633" w:type="pct"/>
            <w:vMerge w:val="continue"/>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zh-CN"/>
              </w:rPr>
            </w:pPr>
          </w:p>
        </w:tc>
        <w:tc>
          <w:tcPr>
            <w:tcW w:w="592"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zh-CN" w:eastAsia="zh-CN"/>
              </w:rPr>
              <w:t>不带冷却风扇的冷凝机组</w:t>
            </w:r>
          </w:p>
        </w:tc>
        <w:tc>
          <w:tcPr>
            <w:tcW w:w="539"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zh-CN" w:eastAsia="zh-CN"/>
              </w:rPr>
              <w:t>带冷却风扇的冷凝机组</w:t>
            </w:r>
          </w:p>
        </w:tc>
        <w:tc>
          <w:tcPr>
            <w:tcW w:w="680"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val="zh-CN" w:eastAsia="zh-CN"/>
              </w:rPr>
              <w:t>冷凝机组及风扇功率P（kW）</w:t>
            </w:r>
          </w:p>
        </w:tc>
        <w:tc>
          <w:tcPr>
            <w:tcW w:w="71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zh-CN" w:eastAsia="zh-CN"/>
              </w:rPr>
              <w:t>不带冷却风扇的冷凝机组</w:t>
            </w:r>
          </w:p>
        </w:tc>
        <w:tc>
          <w:tcPr>
            <w:tcW w:w="508"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zh-CN" w:eastAsia="zh-CN"/>
              </w:rPr>
              <w:t>带冷却风扇的冷凝机组</w:t>
            </w:r>
          </w:p>
        </w:tc>
        <w:tc>
          <w:tcPr>
            <w:tcW w:w="424"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spacing w:val="0"/>
                <w:sz w:val="18"/>
                <w:szCs w:val="18"/>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305"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spacing w:val="0"/>
                <w:sz w:val="18"/>
                <w:szCs w:val="18"/>
                <w:shd w:val="clear" w:color="auto" w:fill="auto"/>
              </w:rPr>
            </w:pPr>
          </w:p>
        </w:tc>
        <w:tc>
          <w:tcPr>
            <w:tcW w:w="602"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spacing w:val="0"/>
                <w:sz w:val="18"/>
                <w:szCs w:val="18"/>
                <w:shd w:val="clear" w:color="auto" w:fill="auto"/>
              </w:rPr>
            </w:pPr>
          </w:p>
        </w:tc>
        <w:tc>
          <w:tcPr>
            <w:tcW w:w="633"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zh-CN" w:eastAsia="zh-CN"/>
              </w:rPr>
              <w:t>P≤0.75</w:t>
            </w:r>
          </w:p>
        </w:tc>
        <w:tc>
          <w:tcPr>
            <w:tcW w:w="592"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zh-CN" w:eastAsia="zh-CN"/>
              </w:rPr>
              <w:t>≤</w:t>
            </w:r>
            <w:r>
              <w:rPr>
                <w:rFonts w:hint="eastAsia" w:ascii="宋体" w:hAnsi="宋体" w:eastAsia="宋体" w:cs="宋体"/>
                <w:color w:val="auto"/>
                <w:sz w:val="18"/>
                <w:szCs w:val="18"/>
                <w:lang w:val="en-US" w:eastAsia="zh-CN"/>
              </w:rPr>
              <w:t>57</w:t>
            </w:r>
          </w:p>
        </w:tc>
        <w:tc>
          <w:tcPr>
            <w:tcW w:w="539"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zh-CN" w:eastAsia="zh-CN"/>
              </w:rPr>
              <w:t>≤</w:t>
            </w:r>
            <w:r>
              <w:rPr>
                <w:rFonts w:hint="eastAsia" w:ascii="宋体" w:hAnsi="宋体" w:eastAsia="宋体" w:cs="宋体"/>
                <w:color w:val="auto"/>
                <w:sz w:val="18"/>
                <w:szCs w:val="18"/>
                <w:lang w:val="en-US" w:eastAsia="zh-CN"/>
              </w:rPr>
              <w:t>59</w:t>
            </w:r>
          </w:p>
        </w:tc>
        <w:tc>
          <w:tcPr>
            <w:tcW w:w="680"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zh-CN" w:eastAsia="zh-CN"/>
              </w:rPr>
              <w:t>P≤0.</w:t>
            </w:r>
            <w:r>
              <w:rPr>
                <w:rFonts w:hint="eastAsia" w:ascii="宋体" w:hAnsi="宋体" w:eastAsia="宋体" w:cs="宋体"/>
                <w:color w:val="auto"/>
                <w:sz w:val="18"/>
                <w:szCs w:val="18"/>
                <w:lang w:val="en-US" w:eastAsia="zh-CN"/>
              </w:rPr>
              <w:t>7</w:t>
            </w:r>
            <w:r>
              <w:rPr>
                <w:rFonts w:hint="eastAsia" w:ascii="宋体" w:hAnsi="宋体" w:eastAsia="宋体" w:cs="宋体"/>
                <w:color w:val="auto"/>
                <w:sz w:val="18"/>
                <w:szCs w:val="18"/>
                <w:lang w:val="zh-CN" w:eastAsia="zh-CN"/>
              </w:rPr>
              <w:t>5</w:t>
            </w:r>
          </w:p>
        </w:tc>
        <w:tc>
          <w:tcPr>
            <w:tcW w:w="71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default" w:ascii="宋体" w:hAnsi="宋体" w:eastAsia="宋体" w:cs="宋体"/>
                <w:color w:val="auto"/>
                <w:sz w:val="18"/>
                <w:szCs w:val="18"/>
                <w:lang w:val="en-US" w:eastAsia="zh-CN"/>
              </w:rPr>
            </w:pPr>
            <w:r>
              <w:rPr>
                <w:rFonts w:hint="eastAsia" w:ascii="宋体" w:hAnsi="宋体" w:eastAsia="宋体" w:cs="宋体"/>
                <w:color w:val="auto"/>
                <w:sz w:val="18"/>
                <w:szCs w:val="18"/>
                <w:lang w:val="zh-CN" w:eastAsia="zh-CN"/>
              </w:rPr>
              <w:t>≤</w:t>
            </w:r>
            <w:r>
              <w:rPr>
                <w:rFonts w:hint="eastAsia" w:ascii="宋体" w:hAnsi="宋体" w:eastAsia="宋体" w:cs="宋体"/>
                <w:color w:val="auto"/>
                <w:sz w:val="18"/>
                <w:szCs w:val="18"/>
                <w:lang w:val="en-US" w:eastAsia="zh-CN"/>
              </w:rPr>
              <w:t>59</w:t>
            </w:r>
          </w:p>
        </w:tc>
        <w:tc>
          <w:tcPr>
            <w:tcW w:w="508"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default" w:ascii="宋体" w:hAnsi="宋体" w:eastAsia="宋体" w:cs="宋体"/>
                <w:color w:val="auto"/>
                <w:sz w:val="18"/>
                <w:szCs w:val="18"/>
                <w:lang w:val="en-US" w:eastAsia="zh-CN"/>
              </w:rPr>
            </w:pPr>
            <w:r>
              <w:rPr>
                <w:rFonts w:hint="eastAsia" w:ascii="宋体" w:hAnsi="宋体" w:eastAsia="宋体" w:cs="宋体"/>
                <w:color w:val="auto"/>
                <w:sz w:val="18"/>
                <w:szCs w:val="18"/>
                <w:lang w:val="zh-CN" w:eastAsia="zh-CN"/>
              </w:rPr>
              <w:t>≤</w:t>
            </w:r>
            <w:r>
              <w:rPr>
                <w:rFonts w:hint="eastAsia" w:ascii="宋体" w:hAnsi="宋体" w:eastAsia="宋体" w:cs="宋体"/>
                <w:color w:val="auto"/>
                <w:sz w:val="18"/>
                <w:szCs w:val="18"/>
                <w:lang w:val="en-US" w:eastAsia="zh-CN"/>
              </w:rPr>
              <w:t>61</w:t>
            </w:r>
          </w:p>
        </w:tc>
        <w:tc>
          <w:tcPr>
            <w:tcW w:w="424"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spacing w:val="0"/>
                <w:sz w:val="18"/>
                <w:szCs w:val="18"/>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78" w:hRule="atLeast"/>
          <w:jc w:val="center"/>
        </w:trPr>
        <w:tc>
          <w:tcPr>
            <w:tcW w:w="305"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spacing w:val="0"/>
                <w:sz w:val="18"/>
                <w:szCs w:val="18"/>
                <w:shd w:val="clear" w:color="auto" w:fill="auto"/>
              </w:rPr>
            </w:pPr>
          </w:p>
        </w:tc>
        <w:tc>
          <w:tcPr>
            <w:tcW w:w="602"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spacing w:val="0"/>
                <w:sz w:val="18"/>
                <w:szCs w:val="18"/>
                <w:shd w:val="clear" w:color="auto" w:fill="auto"/>
              </w:rPr>
            </w:pPr>
          </w:p>
        </w:tc>
        <w:tc>
          <w:tcPr>
            <w:tcW w:w="633"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zh-CN" w:eastAsia="zh-CN"/>
              </w:rPr>
              <w:t>0.75＜P≤1.5</w:t>
            </w:r>
          </w:p>
        </w:tc>
        <w:tc>
          <w:tcPr>
            <w:tcW w:w="592"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zh-CN" w:eastAsia="zh-CN"/>
              </w:rPr>
              <w:t>≤5</w:t>
            </w:r>
            <w:r>
              <w:rPr>
                <w:rFonts w:hint="eastAsia" w:ascii="宋体" w:hAnsi="宋体" w:eastAsia="宋体" w:cs="宋体"/>
                <w:color w:val="auto"/>
                <w:sz w:val="18"/>
                <w:szCs w:val="18"/>
                <w:lang w:val="en-US" w:eastAsia="zh-CN"/>
              </w:rPr>
              <w:t>8</w:t>
            </w:r>
          </w:p>
        </w:tc>
        <w:tc>
          <w:tcPr>
            <w:tcW w:w="539"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zh-CN" w:eastAsia="zh-CN"/>
              </w:rPr>
              <w:t>≤</w:t>
            </w:r>
            <w:r>
              <w:rPr>
                <w:rFonts w:hint="eastAsia" w:ascii="宋体" w:hAnsi="宋体" w:eastAsia="宋体" w:cs="宋体"/>
                <w:color w:val="auto"/>
                <w:sz w:val="18"/>
                <w:szCs w:val="18"/>
                <w:lang w:val="en-US" w:eastAsia="zh-CN"/>
              </w:rPr>
              <w:t>60</w:t>
            </w:r>
          </w:p>
        </w:tc>
        <w:tc>
          <w:tcPr>
            <w:tcW w:w="680"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zh-CN" w:eastAsia="zh-CN"/>
              </w:rPr>
              <w:t>0.</w:t>
            </w:r>
            <w:r>
              <w:rPr>
                <w:rFonts w:hint="eastAsia" w:ascii="宋体" w:hAnsi="宋体" w:eastAsia="宋体" w:cs="宋体"/>
                <w:color w:val="auto"/>
                <w:sz w:val="18"/>
                <w:szCs w:val="18"/>
                <w:lang w:val="en-US" w:eastAsia="zh-CN"/>
              </w:rPr>
              <w:t>7</w:t>
            </w:r>
            <w:r>
              <w:rPr>
                <w:rFonts w:hint="eastAsia" w:ascii="宋体" w:hAnsi="宋体" w:eastAsia="宋体" w:cs="宋体"/>
                <w:color w:val="auto"/>
                <w:sz w:val="18"/>
                <w:szCs w:val="18"/>
                <w:lang w:val="zh-CN" w:eastAsia="zh-CN"/>
              </w:rPr>
              <w:t>5＜P≤</w:t>
            </w:r>
            <w:r>
              <w:rPr>
                <w:rFonts w:hint="eastAsia" w:ascii="宋体" w:hAnsi="宋体" w:eastAsia="宋体" w:cs="宋体"/>
                <w:color w:val="auto"/>
                <w:sz w:val="18"/>
                <w:szCs w:val="18"/>
                <w:lang w:val="en-US" w:eastAsia="zh-CN"/>
              </w:rPr>
              <w:t>1</w:t>
            </w:r>
            <w:r>
              <w:rPr>
                <w:rFonts w:hint="eastAsia" w:ascii="宋体" w:hAnsi="宋体" w:eastAsia="宋体" w:cs="宋体"/>
                <w:color w:val="auto"/>
                <w:sz w:val="18"/>
                <w:szCs w:val="18"/>
                <w:lang w:val="zh-CN" w:eastAsia="zh-CN"/>
              </w:rPr>
              <w:t>.5</w:t>
            </w:r>
          </w:p>
        </w:tc>
        <w:tc>
          <w:tcPr>
            <w:tcW w:w="711"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zh-CN" w:eastAsia="zh-CN"/>
              </w:rPr>
              <w:t>≤</w:t>
            </w:r>
            <w:r>
              <w:rPr>
                <w:rFonts w:hint="eastAsia" w:ascii="宋体" w:hAnsi="宋体" w:eastAsia="宋体" w:cs="宋体"/>
                <w:color w:val="auto"/>
                <w:sz w:val="18"/>
                <w:szCs w:val="18"/>
                <w:lang w:val="en-US" w:eastAsia="zh-CN"/>
              </w:rPr>
              <w:t>6</w:t>
            </w:r>
            <w:r>
              <w:rPr>
                <w:rFonts w:hint="eastAsia" w:ascii="宋体" w:hAnsi="宋体" w:eastAsia="宋体" w:cs="宋体"/>
                <w:color w:val="auto"/>
                <w:sz w:val="18"/>
                <w:szCs w:val="18"/>
                <w:lang w:val="zh-CN" w:eastAsia="zh-CN"/>
              </w:rPr>
              <w:t>0</w:t>
            </w:r>
          </w:p>
        </w:tc>
        <w:tc>
          <w:tcPr>
            <w:tcW w:w="508" w:type="pct"/>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zh-CN" w:eastAsia="zh-CN"/>
              </w:rPr>
              <w:t>≤</w:t>
            </w:r>
            <w:r>
              <w:rPr>
                <w:rFonts w:hint="eastAsia" w:ascii="宋体" w:hAnsi="宋体" w:eastAsia="宋体" w:cs="宋体"/>
                <w:color w:val="auto"/>
                <w:sz w:val="18"/>
                <w:szCs w:val="18"/>
                <w:lang w:val="en-US" w:eastAsia="zh-CN"/>
              </w:rPr>
              <w:t>6</w:t>
            </w:r>
            <w:r>
              <w:rPr>
                <w:rFonts w:hint="eastAsia" w:ascii="宋体" w:hAnsi="宋体" w:eastAsia="宋体" w:cs="宋体"/>
                <w:color w:val="auto"/>
                <w:sz w:val="18"/>
                <w:szCs w:val="18"/>
                <w:lang w:val="zh-CN" w:eastAsia="zh-CN"/>
              </w:rPr>
              <w:t>2</w:t>
            </w:r>
          </w:p>
        </w:tc>
        <w:tc>
          <w:tcPr>
            <w:tcW w:w="424" w:type="pct"/>
            <w:vMerge w:val="continue"/>
            <w:shd w:val="clear" w:color="auto" w:fill="auto"/>
            <w:vAlign w:val="center"/>
          </w:tcPr>
          <w:p>
            <w:pPr>
              <w:keepNext w:val="0"/>
              <w:keepLines w:val="0"/>
              <w:pageBreakBefore w:val="0"/>
              <w:kinsoku/>
              <w:wordWrap/>
              <w:overflowPunct/>
              <w:topLinePunct w:val="0"/>
              <w:bidi w:val="0"/>
              <w:adjustRightInd w:val="0"/>
              <w:snapToGrid w:val="0"/>
              <w:jc w:val="center"/>
              <w:textAlignment w:val="auto"/>
              <w:rPr>
                <w:spacing w:val="0"/>
                <w:sz w:val="18"/>
                <w:szCs w:val="18"/>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305" w:type="pct"/>
            <w:vMerge w:val="restart"/>
            <w:shd w:val="clear" w:color="auto" w:fill="auto"/>
            <w:vAlign w:val="center"/>
          </w:tcPr>
          <w:p>
            <w:pPr>
              <w:keepNext w:val="0"/>
              <w:keepLines w:val="0"/>
              <w:pageBreakBefore w:val="0"/>
              <w:kinsoku/>
              <w:wordWrap/>
              <w:overflowPunct/>
              <w:topLinePunct w:val="0"/>
              <w:bidi w:val="0"/>
              <w:jc w:val="center"/>
              <w:textAlignment w:val="auto"/>
              <w:rPr>
                <w:rFonts w:ascii="宋体" w:hAnsi="宋体" w:cs="宋体"/>
                <w:spacing w:val="0"/>
                <w:sz w:val="18"/>
                <w:szCs w:val="18"/>
                <w:shd w:val="clear" w:color="auto" w:fill="auto"/>
                <w:lang w:val="zh-CN" w:eastAsia="zh-CN"/>
              </w:rPr>
            </w:pPr>
            <w:r>
              <w:rPr>
                <w:rFonts w:hint="eastAsia" w:ascii="宋体" w:hAnsi="宋体" w:cs="宋体"/>
                <w:spacing w:val="0"/>
                <w:sz w:val="18"/>
                <w:szCs w:val="18"/>
                <w:shd w:val="clear" w:color="auto" w:fill="auto"/>
                <w:lang w:val="zh-CN" w:eastAsia="zh-CN"/>
              </w:rPr>
              <w:t>创新</w:t>
            </w:r>
          </w:p>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r>
              <w:rPr>
                <w:rFonts w:hint="eastAsia" w:ascii="宋体" w:hAnsi="宋体" w:cs="宋体"/>
                <w:spacing w:val="0"/>
                <w:sz w:val="18"/>
                <w:szCs w:val="18"/>
                <w:shd w:val="clear" w:color="auto" w:fill="auto"/>
                <w:lang w:val="zh-CN" w:eastAsia="zh-CN"/>
              </w:rPr>
              <w:t>指标</w:t>
            </w:r>
          </w:p>
        </w:tc>
        <w:tc>
          <w:tcPr>
            <w:tcW w:w="602" w:type="pct"/>
            <w:shd w:val="clear" w:color="auto" w:fill="auto"/>
            <w:vAlign w:val="center"/>
          </w:tcPr>
          <w:p>
            <w:pPr>
              <w:keepNext w:val="0"/>
              <w:keepLines w:val="0"/>
              <w:pageBreakBefore w:val="0"/>
              <w:kinsoku/>
              <w:wordWrap/>
              <w:overflowPunct/>
              <w:topLinePunct w:val="0"/>
              <w:bidi w:val="0"/>
              <w:jc w:val="center"/>
              <w:textAlignment w:val="auto"/>
              <w:rPr>
                <w:rFonts w:ascii="宋体" w:hAnsi="宋体"/>
                <w:spacing w:val="0"/>
                <w:sz w:val="18"/>
                <w:szCs w:val="18"/>
                <w:shd w:val="clear" w:color="auto" w:fill="auto"/>
                <w:lang w:eastAsia="zh-CN"/>
              </w:rPr>
            </w:pPr>
            <w:r>
              <w:rPr>
                <w:rFonts w:hint="eastAsia" w:ascii="宋体" w:hAnsi="宋体" w:cs="宋体"/>
                <w:spacing w:val="0"/>
                <w:sz w:val="18"/>
                <w:szCs w:val="18"/>
                <w:shd w:val="clear" w:color="auto" w:fill="auto"/>
                <w:lang w:val="zh-CN"/>
              </w:rPr>
              <w:t>电磁兼容</w:t>
            </w:r>
          </w:p>
        </w:tc>
        <w:tc>
          <w:tcPr>
            <w:tcW w:w="1766"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rPr>
              <w:t>按</w:t>
            </w:r>
            <w:r>
              <w:rPr>
                <w:rFonts w:hint="eastAsia" w:ascii="宋体" w:hAnsi="宋体" w:eastAsia="宋体" w:cs="宋体"/>
                <w:color w:val="auto"/>
                <w:sz w:val="18"/>
                <w:szCs w:val="18"/>
                <w:lang w:val="en-US" w:eastAsia="zh-CN"/>
              </w:rPr>
              <w:t>6</w:t>
            </w:r>
            <w:r>
              <w:rPr>
                <w:rFonts w:hint="eastAsia" w:ascii="宋体" w:hAnsi="宋体" w:eastAsia="宋体" w:cs="宋体"/>
                <w:color w:val="auto"/>
                <w:sz w:val="18"/>
                <w:szCs w:val="18"/>
              </w:rPr>
              <w:t>.8.2的方法进行试验，应符合GB 17625.1和GB 4343.1、GB</w:t>
            </w:r>
            <w:r>
              <w:rPr>
                <w:rFonts w:hint="eastAsia" w:ascii="宋体" w:hAnsi="宋体" w:eastAsia="宋体" w:cs="宋体"/>
                <w:color w:val="auto"/>
                <w:sz w:val="18"/>
                <w:szCs w:val="18"/>
                <w:lang w:val="en-US"/>
              </w:rPr>
              <w:t>/T</w:t>
            </w:r>
            <w:r>
              <w:rPr>
                <w:rFonts w:hint="eastAsia" w:ascii="宋体" w:hAnsi="宋体" w:eastAsia="宋体" w:cs="宋体"/>
                <w:color w:val="auto"/>
                <w:sz w:val="18"/>
                <w:szCs w:val="18"/>
              </w:rPr>
              <w:t xml:space="preserve"> 4343.2的要求</w:t>
            </w:r>
          </w:p>
        </w:tc>
        <w:tc>
          <w:tcPr>
            <w:tcW w:w="1901" w:type="pct"/>
            <w:gridSpan w:val="3"/>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spacing w:val="0"/>
                <w:sz w:val="18"/>
                <w:szCs w:val="18"/>
                <w:shd w:val="clear" w:color="auto" w:fill="auto"/>
                <w:lang w:val="en-US" w:eastAsia="zh-CN"/>
              </w:rPr>
            </w:pPr>
            <w:r>
              <w:rPr>
                <w:rFonts w:hint="eastAsia" w:ascii="宋体" w:hAnsi="宋体"/>
                <w:spacing w:val="0"/>
                <w:sz w:val="18"/>
                <w:szCs w:val="18"/>
                <w:shd w:val="clear" w:color="auto" w:fill="auto"/>
                <w:lang w:val="en-US" w:eastAsia="zh-CN"/>
              </w:rPr>
              <w:t>——</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spacing w:val="0"/>
                <w:sz w:val="18"/>
                <w:szCs w:val="18"/>
                <w:shd w:val="clear" w:color="auto" w:fill="auto"/>
                <w:lang w:eastAsia="zh-CN"/>
              </w:rPr>
            </w:pPr>
            <w:r>
              <w:rPr>
                <w:rFonts w:hint="eastAsia" w:ascii="宋体" w:hAnsi="宋体"/>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p>
        </w:tc>
        <w:tc>
          <w:tcPr>
            <w:tcW w:w="602" w:type="pct"/>
            <w:shd w:val="clear" w:color="auto" w:fill="auto"/>
            <w:vAlign w:val="center"/>
          </w:tcPr>
          <w:p>
            <w:pPr>
              <w:keepNext w:val="0"/>
              <w:keepLines w:val="0"/>
              <w:pageBreakBefore w:val="0"/>
              <w:kinsoku/>
              <w:wordWrap/>
              <w:overflowPunct/>
              <w:topLinePunct w:val="0"/>
              <w:bidi w:val="0"/>
              <w:jc w:val="center"/>
              <w:textAlignment w:val="auto"/>
              <w:rPr>
                <w:rFonts w:ascii="宋体" w:hAnsi="宋体"/>
                <w:spacing w:val="0"/>
                <w:sz w:val="18"/>
                <w:szCs w:val="18"/>
                <w:shd w:val="clear" w:color="auto" w:fill="auto"/>
                <w:lang w:eastAsia="zh-CN"/>
              </w:rPr>
            </w:pPr>
            <w:r>
              <w:rPr>
                <w:rFonts w:hint="eastAsia" w:ascii="宋体" w:hAnsi="宋体" w:cs="宋体"/>
                <w:spacing w:val="0"/>
                <w:sz w:val="18"/>
                <w:szCs w:val="18"/>
                <w:shd w:val="clear" w:color="auto" w:fill="auto"/>
                <w:lang w:val="zh-CN"/>
              </w:rPr>
              <w:t>与</w:t>
            </w:r>
            <w:r>
              <w:rPr>
                <w:rFonts w:hint="eastAsia" w:ascii="宋体" w:hAnsi="宋体" w:eastAsia="宋体" w:cs="宋体"/>
                <w:spacing w:val="0"/>
                <w:sz w:val="18"/>
                <w:szCs w:val="18"/>
                <w:shd w:val="clear" w:color="auto" w:fill="auto"/>
                <w:lang w:val="zh-CN"/>
              </w:rPr>
              <w:t>食品接触材料安全</w:t>
            </w:r>
          </w:p>
        </w:tc>
        <w:tc>
          <w:tcPr>
            <w:tcW w:w="1766"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rPr>
              <w:t>按</w:t>
            </w:r>
            <w:r>
              <w:rPr>
                <w:rFonts w:hint="eastAsia" w:ascii="宋体" w:hAnsi="宋体" w:eastAsia="宋体" w:cs="宋体"/>
                <w:color w:val="auto"/>
                <w:sz w:val="18"/>
                <w:szCs w:val="18"/>
                <w:lang w:val="en-US" w:eastAsia="zh-CN"/>
              </w:rPr>
              <w:t>6</w:t>
            </w:r>
            <w:r>
              <w:rPr>
                <w:rFonts w:hint="eastAsia" w:ascii="宋体" w:hAnsi="宋体" w:eastAsia="宋体" w:cs="宋体"/>
                <w:color w:val="auto"/>
                <w:sz w:val="18"/>
                <w:szCs w:val="18"/>
              </w:rPr>
              <w:t>.8.3的方法进行试验，应符合GB 4806.1和表3的要求</w:t>
            </w:r>
          </w:p>
        </w:tc>
        <w:tc>
          <w:tcPr>
            <w:tcW w:w="1901" w:type="pct"/>
            <w:gridSpan w:val="3"/>
            <w:vAlign w:val="center"/>
          </w:tcPr>
          <w:p>
            <w:pPr>
              <w:keepNext w:val="0"/>
              <w:keepLines w:val="0"/>
              <w:pageBreakBefore w:val="0"/>
              <w:kinsoku/>
              <w:wordWrap/>
              <w:overflowPunct/>
              <w:topLinePunct w:val="0"/>
              <w:bidi w:val="0"/>
              <w:adjustRightInd w:val="0"/>
              <w:snapToGrid w:val="0"/>
              <w:jc w:val="center"/>
              <w:textAlignment w:val="auto"/>
              <w:rPr>
                <w:rFonts w:ascii="宋体" w:hAnsi="宋体"/>
                <w:spacing w:val="0"/>
                <w:sz w:val="18"/>
                <w:szCs w:val="18"/>
                <w:shd w:val="clear" w:color="auto" w:fill="auto"/>
                <w:lang w:eastAsia="zh-CN"/>
              </w:rPr>
            </w:pPr>
            <w:r>
              <w:rPr>
                <w:rFonts w:hint="eastAsia" w:ascii="宋体" w:hAnsi="宋体"/>
                <w:spacing w:val="0"/>
                <w:sz w:val="18"/>
                <w:szCs w:val="18"/>
                <w:shd w:val="clear" w:color="auto" w:fill="auto"/>
                <w:lang w:val="en-US" w:eastAsia="zh-CN"/>
              </w:rPr>
              <w:t>——</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spacing w:val="0"/>
                <w:sz w:val="18"/>
                <w:szCs w:val="18"/>
                <w:shd w:val="clear" w:color="auto" w:fill="auto"/>
                <w:lang w:eastAsia="zh-CN"/>
              </w:rPr>
            </w:pPr>
            <w:r>
              <w:rPr>
                <w:rFonts w:hint="eastAsia" w:ascii="宋体" w:hAnsi="宋体"/>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p>
        </w:tc>
        <w:tc>
          <w:tcPr>
            <w:tcW w:w="602"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r>
              <w:rPr>
                <w:rFonts w:hint="eastAsia" w:ascii="宋体" w:hAnsi="宋体" w:eastAsia="宋体" w:cs="宋体"/>
                <w:spacing w:val="0"/>
                <w:sz w:val="18"/>
                <w:szCs w:val="18"/>
                <w:shd w:val="clear" w:color="auto" w:fill="auto"/>
                <w:lang w:val="zh-CN"/>
              </w:rPr>
              <w:t>抗菌</w:t>
            </w:r>
          </w:p>
        </w:tc>
        <w:tc>
          <w:tcPr>
            <w:tcW w:w="1766" w:type="pct"/>
            <w:gridSpan w:val="3"/>
            <w:vAlign w:val="center"/>
          </w:tcPr>
          <w:p>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按</w:t>
            </w:r>
            <w:r>
              <w:rPr>
                <w:rFonts w:hint="eastAsia" w:ascii="宋体" w:hAnsi="宋体" w:eastAsia="宋体" w:cs="宋体"/>
                <w:color w:val="auto"/>
                <w:sz w:val="18"/>
                <w:szCs w:val="18"/>
                <w:lang w:val="en-US" w:eastAsia="zh-CN"/>
              </w:rPr>
              <w:t>6</w:t>
            </w:r>
            <w:r>
              <w:rPr>
                <w:rFonts w:hint="eastAsia" w:ascii="宋体" w:hAnsi="宋体" w:eastAsia="宋体" w:cs="宋体"/>
                <w:color w:val="auto"/>
                <w:sz w:val="18"/>
                <w:szCs w:val="18"/>
              </w:rPr>
              <w:t>.8.4的方法进行试验，具有抗菌功能的商用冷柜或其应用抗菌材料生产的主要部件，对金黄色葡萄球菌、大肠杆菌的抗菌率不应小于97%</w:t>
            </w:r>
          </w:p>
        </w:tc>
        <w:tc>
          <w:tcPr>
            <w:tcW w:w="1901" w:type="pct"/>
            <w:gridSpan w:val="3"/>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spacing w:val="0"/>
                <w:sz w:val="18"/>
                <w:szCs w:val="18"/>
                <w:shd w:val="clear" w:color="auto" w:fill="auto"/>
                <w:lang w:val="en-US" w:eastAsia="zh-CN"/>
              </w:rPr>
            </w:pPr>
            <w:r>
              <w:rPr>
                <w:rFonts w:hint="eastAsia" w:ascii="宋体" w:hAnsi="宋体"/>
                <w:spacing w:val="0"/>
                <w:sz w:val="18"/>
                <w:szCs w:val="18"/>
                <w:shd w:val="clear" w:color="auto" w:fill="auto"/>
                <w:lang w:val="en-US" w:eastAsia="zh-CN"/>
              </w:rPr>
              <w:t>——</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spacing w:val="0"/>
                <w:sz w:val="18"/>
                <w:szCs w:val="18"/>
                <w:shd w:val="clear" w:color="auto" w:fill="auto"/>
                <w:lang w:eastAsia="zh-CN"/>
              </w:rPr>
            </w:pPr>
            <w:r>
              <w:rPr>
                <w:rFonts w:hint="eastAsia" w:ascii="宋体" w:hAnsi="宋体"/>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p>
        </w:tc>
        <w:tc>
          <w:tcPr>
            <w:tcW w:w="602"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Times New Roman"/>
                <w:spacing w:val="0"/>
                <w:sz w:val="18"/>
                <w:szCs w:val="18"/>
                <w:shd w:val="clear" w:color="auto" w:fill="auto"/>
                <w:lang w:val="zh-CN" w:eastAsia="zh-CN" w:bidi="ar-SA"/>
              </w:rPr>
            </w:pPr>
            <w:r>
              <w:rPr>
                <w:rFonts w:hint="eastAsia" w:ascii="宋体" w:hAnsi="宋体" w:eastAsia="宋体" w:cs="宋体"/>
                <w:spacing w:val="0"/>
                <w:sz w:val="18"/>
                <w:szCs w:val="18"/>
                <w:shd w:val="clear" w:color="auto" w:fill="auto"/>
                <w:lang w:val="zh-CN"/>
              </w:rPr>
              <w:t>限用物质</w:t>
            </w:r>
          </w:p>
        </w:tc>
        <w:tc>
          <w:tcPr>
            <w:tcW w:w="1766" w:type="pct"/>
            <w:gridSpan w:val="3"/>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color w:val="auto"/>
                <w:sz w:val="18"/>
                <w:szCs w:val="18"/>
              </w:rPr>
              <w:t>按</w:t>
            </w:r>
            <w:r>
              <w:rPr>
                <w:rFonts w:hint="eastAsia" w:ascii="宋体" w:hAnsi="宋体" w:eastAsia="宋体" w:cs="宋体"/>
                <w:color w:val="auto"/>
                <w:sz w:val="18"/>
                <w:szCs w:val="18"/>
                <w:lang w:val="en-US" w:eastAsia="zh-CN"/>
              </w:rPr>
              <w:t>6</w:t>
            </w:r>
            <w:r>
              <w:rPr>
                <w:rFonts w:hint="eastAsia" w:ascii="宋体" w:hAnsi="宋体" w:eastAsia="宋体" w:cs="宋体"/>
                <w:color w:val="auto"/>
                <w:sz w:val="18"/>
                <w:szCs w:val="18"/>
              </w:rPr>
              <w:t>.9.1的方法进行试验，应符合GB/T 26572的要求</w:t>
            </w:r>
          </w:p>
        </w:tc>
        <w:tc>
          <w:tcPr>
            <w:tcW w:w="1901" w:type="pct"/>
            <w:gridSpan w:val="3"/>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Times New Roman"/>
                <w:spacing w:val="0"/>
                <w:sz w:val="18"/>
                <w:szCs w:val="18"/>
                <w:shd w:val="clear" w:color="auto" w:fill="auto"/>
                <w:lang w:val="en-US" w:eastAsia="zh-CN" w:bidi="ar-SA"/>
              </w:rPr>
            </w:pPr>
            <w:r>
              <w:rPr>
                <w:rFonts w:hint="eastAsia" w:ascii="宋体" w:hAnsi="宋体"/>
                <w:spacing w:val="0"/>
                <w:sz w:val="18"/>
                <w:szCs w:val="18"/>
                <w:shd w:val="clear" w:color="auto" w:fill="auto"/>
                <w:lang w:val="en-US" w:eastAsia="zh-CN"/>
              </w:rPr>
              <w:t>——</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Times New Roman"/>
                <w:spacing w:val="0"/>
                <w:sz w:val="18"/>
                <w:szCs w:val="18"/>
                <w:shd w:val="clear" w:color="auto" w:fill="auto"/>
                <w:lang w:val="en-US" w:eastAsia="zh-CN" w:bidi="ar-SA"/>
              </w:rPr>
            </w:pPr>
            <w:r>
              <w:rPr>
                <w:rFonts w:hint="eastAsia" w:ascii="宋体" w:hAnsi="宋体"/>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16"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p>
        </w:tc>
        <w:tc>
          <w:tcPr>
            <w:tcW w:w="602"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r>
              <w:rPr>
                <w:rFonts w:hint="eastAsia" w:ascii="宋体" w:hAnsi="宋体" w:eastAsia="宋体" w:cs="宋体"/>
                <w:spacing w:val="0"/>
                <w:sz w:val="18"/>
                <w:szCs w:val="18"/>
                <w:shd w:val="clear" w:color="auto" w:fill="auto"/>
                <w:lang w:val="zh-CN"/>
              </w:rPr>
              <w:t>制冷剂类型</w:t>
            </w:r>
          </w:p>
        </w:tc>
        <w:tc>
          <w:tcPr>
            <w:tcW w:w="1766" w:type="pct"/>
            <w:gridSpan w:val="3"/>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rPr>
              <w:t>应采用ODP值为0且GWP值不大于100的制冷剂，且充注量应符合GB 4706.102的相关要求</w:t>
            </w:r>
          </w:p>
        </w:tc>
        <w:tc>
          <w:tcPr>
            <w:tcW w:w="1901" w:type="pct"/>
            <w:gridSpan w:val="3"/>
            <w:vAlign w:val="center"/>
          </w:tcPr>
          <w:p>
            <w:pPr>
              <w:keepNext w:val="0"/>
              <w:keepLines w:val="0"/>
              <w:pageBreakBefore w:val="0"/>
              <w:kinsoku/>
              <w:wordWrap/>
              <w:overflowPunct/>
              <w:topLinePunct w:val="0"/>
              <w:bidi w:val="0"/>
              <w:adjustRightInd w:val="0"/>
              <w:snapToGrid w:val="0"/>
              <w:jc w:val="center"/>
              <w:textAlignment w:val="auto"/>
              <w:rPr>
                <w:rFonts w:ascii="宋体" w:hAnsi="宋体"/>
                <w:spacing w:val="0"/>
                <w:sz w:val="18"/>
                <w:szCs w:val="18"/>
                <w:shd w:val="clear" w:color="auto" w:fill="auto"/>
                <w:lang w:eastAsia="zh-CN"/>
              </w:rPr>
            </w:pPr>
            <w:r>
              <w:rPr>
                <w:rFonts w:hint="eastAsia" w:ascii="宋体" w:hAnsi="宋体"/>
                <w:spacing w:val="0"/>
                <w:sz w:val="18"/>
                <w:szCs w:val="18"/>
                <w:shd w:val="clear" w:color="auto" w:fill="auto"/>
                <w:lang w:val="en-US" w:eastAsia="zh-CN"/>
              </w:rPr>
              <w:t>——</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spacing w:val="0"/>
                <w:sz w:val="18"/>
                <w:szCs w:val="18"/>
                <w:shd w:val="clear" w:color="auto" w:fill="auto"/>
                <w:lang w:eastAsia="zh-CN"/>
              </w:rPr>
            </w:pPr>
            <w:r>
              <w:rPr>
                <w:rFonts w:hint="eastAsia" w:ascii="宋体" w:hAnsi="宋体"/>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305"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cs="宋体"/>
                <w:spacing w:val="0"/>
                <w:sz w:val="18"/>
                <w:szCs w:val="18"/>
                <w:shd w:val="clear" w:color="auto" w:fill="auto"/>
                <w:lang w:val="zh-CN" w:eastAsia="zh-CN"/>
              </w:rPr>
            </w:pPr>
          </w:p>
        </w:tc>
        <w:tc>
          <w:tcPr>
            <w:tcW w:w="602"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spacing w:val="0"/>
                <w:sz w:val="18"/>
                <w:szCs w:val="18"/>
                <w:shd w:val="clear" w:color="auto" w:fill="auto"/>
                <w:lang w:eastAsia="zh-CN"/>
              </w:rPr>
            </w:pPr>
            <w:r>
              <w:rPr>
                <w:rFonts w:hint="eastAsia" w:ascii="宋体" w:hAnsi="宋体" w:eastAsia="宋体" w:cs="宋体"/>
                <w:spacing w:val="0"/>
                <w:sz w:val="18"/>
                <w:szCs w:val="18"/>
                <w:shd w:val="clear" w:color="auto" w:fill="auto"/>
                <w:lang w:val="zh-CN"/>
              </w:rPr>
              <w:t>智能化功能</w:t>
            </w:r>
          </w:p>
        </w:tc>
        <w:tc>
          <w:tcPr>
            <w:tcW w:w="1766" w:type="pct"/>
            <w:gridSpan w:val="3"/>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带智能功能的陈列柜应包括且不限于以下智能化功能：</w:t>
            </w:r>
          </w:p>
          <w:p>
            <w:pPr>
              <w:keepNext w:val="0"/>
              <w:keepLines w:val="0"/>
              <w:pageBreakBefore w:val="0"/>
              <w:widowControl/>
              <w:kinsoku/>
              <w:wordWrap/>
              <w:overflowPunct/>
              <w:topLinePunct w:val="0"/>
              <w:autoSpaceDE/>
              <w:autoSpaceDN/>
              <w:bidi w:val="0"/>
              <w:adjustRightInd/>
              <w:snapToGrid/>
              <w:ind w:firstLine="180" w:firstLineChars="100"/>
              <w:jc w:val="left"/>
              <w:textAlignment w:val="auto"/>
              <w:rPr>
                <w:rFonts w:hint="eastAsia" w:ascii="宋体" w:hAnsi="宋体" w:eastAsia="宋体" w:cs="宋体"/>
                <w:color w:val="auto"/>
                <w:sz w:val="18"/>
                <w:szCs w:val="18"/>
              </w:rPr>
            </w:pPr>
            <w:r>
              <w:rPr>
                <w:rFonts w:hint="eastAsia" w:ascii="宋体" w:hAnsi="宋体" w:eastAsia="宋体" w:cs="宋体"/>
                <w:color w:val="auto"/>
                <w:sz w:val="18"/>
                <w:szCs w:val="18"/>
                <w:lang w:val="en-US"/>
              </w:rPr>
              <w:t>a)</w:t>
            </w:r>
            <w:r>
              <w:rPr>
                <w:rFonts w:hint="eastAsia" w:ascii="宋体" w:hAnsi="宋体" w:eastAsia="宋体" w:cs="宋体"/>
                <w:color w:val="auto"/>
                <w:sz w:val="18"/>
                <w:szCs w:val="18"/>
              </w:rPr>
              <w:t>远程定位功能：通过客户终端可查看到陈列柜位置；</w:t>
            </w:r>
          </w:p>
          <w:p>
            <w:pPr>
              <w:keepNext w:val="0"/>
              <w:keepLines w:val="0"/>
              <w:pageBreakBefore w:val="0"/>
              <w:widowControl/>
              <w:kinsoku/>
              <w:wordWrap/>
              <w:overflowPunct/>
              <w:topLinePunct w:val="0"/>
              <w:autoSpaceDE/>
              <w:autoSpaceDN/>
              <w:bidi w:val="0"/>
              <w:adjustRightInd/>
              <w:snapToGrid/>
              <w:ind w:firstLine="180" w:firstLineChars="100"/>
              <w:jc w:val="left"/>
              <w:textAlignment w:val="auto"/>
              <w:rPr>
                <w:rFonts w:hint="eastAsia" w:ascii="宋体" w:hAnsi="宋体" w:eastAsia="宋体" w:cs="宋体"/>
                <w:color w:val="auto"/>
                <w:sz w:val="18"/>
                <w:szCs w:val="18"/>
              </w:rPr>
            </w:pPr>
            <w:r>
              <w:rPr>
                <w:rFonts w:hint="eastAsia" w:ascii="宋体" w:hAnsi="宋体" w:eastAsia="宋体" w:cs="宋体"/>
                <w:color w:val="auto"/>
                <w:sz w:val="18"/>
                <w:szCs w:val="18"/>
                <w:lang w:val="en-US"/>
              </w:rPr>
              <w:t>b)</w:t>
            </w:r>
            <w:r>
              <w:rPr>
                <w:rFonts w:hint="eastAsia" w:ascii="宋体" w:hAnsi="宋体" w:eastAsia="宋体" w:cs="宋体"/>
                <w:color w:val="auto"/>
                <w:sz w:val="18"/>
                <w:szCs w:val="18"/>
              </w:rPr>
              <w:t>远程控制功能：通过客户终端实现温度、湿度控制功能；</w:t>
            </w:r>
          </w:p>
          <w:p>
            <w:pPr>
              <w:keepNext w:val="0"/>
              <w:keepLines w:val="0"/>
              <w:pageBreakBefore w:val="0"/>
              <w:widowControl/>
              <w:kinsoku/>
              <w:wordWrap/>
              <w:overflowPunct/>
              <w:topLinePunct w:val="0"/>
              <w:autoSpaceDE/>
              <w:autoSpaceDN/>
              <w:bidi w:val="0"/>
              <w:adjustRightInd/>
              <w:snapToGrid/>
              <w:ind w:firstLine="180" w:firstLineChars="100"/>
              <w:jc w:val="left"/>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val="en-US"/>
              </w:rPr>
              <w:t>c)</w:t>
            </w:r>
            <w:r>
              <w:rPr>
                <w:rFonts w:hint="eastAsia" w:ascii="宋体" w:hAnsi="宋体" w:eastAsia="宋体" w:cs="宋体"/>
                <w:color w:val="auto"/>
                <w:sz w:val="18"/>
                <w:szCs w:val="18"/>
              </w:rPr>
              <w:t>远程巡检功能：通过客户终端查看陈列柜的运行状态、储物情况等。</w:t>
            </w:r>
          </w:p>
        </w:tc>
        <w:tc>
          <w:tcPr>
            <w:tcW w:w="1901" w:type="pct"/>
            <w:gridSpan w:val="3"/>
            <w:vAlign w:val="center"/>
          </w:tcPr>
          <w:p>
            <w:pPr>
              <w:keepNext w:val="0"/>
              <w:keepLines w:val="0"/>
              <w:pageBreakBefore w:val="0"/>
              <w:kinsoku/>
              <w:wordWrap/>
              <w:overflowPunct/>
              <w:topLinePunct w:val="0"/>
              <w:bidi w:val="0"/>
              <w:adjustRightInd w:val="0"/>
              <w:snapToGrid w:val="0"/>
              <w:jc w:val="center"/>
              <w:textAlignment w:val="auto"/>
              <w:rPr>
                <w:rFonts w:ascii="宋体" w:hAnsi="宋体"/>
                <w:spacing w:val="0"/>
                <w:sz w:val="18"/>
                <w:szCs w:val="18"/>
                <w:shd w:val="clear" w:color="auto" w:fill="auto"/>
                <w:lang w:eastAsia="zh-CN"/>
              </w:rPr>
            </w:pPr>
            <w:r>
              <w:rPr>
                <w:rFonts w:hint="eastAsia" w:ascii="宋体" w:hAnsi="宋体"/>
                <w:spacing w:val="0"/>
                <w:sz w:val="18"/>
                <w:szCs w:val="18"/>
                <w:shd w:val="clear" w:color="auto" w:fill="auto"/>
                <w:lang w:val="en-US" w:eastAsia="zh-CN"/>
              </w:rPr>
              <w:t>——</w:t>
            </w:r>
          </w:p>
        </w:tc>
        <w:tc>
          <w:tcPr>
            <w:tcW w:w="42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spacing w:val="0"/>
                <w:sz w:val="18"/>
                <w:szCs w:val="18"/>
                <w:shd w:val="clear" w:color="auto" w:fill="auto"/>
                <w:lang w:eastAsia="zh-CN"/>
              </w:rPr>
            </w:pPr>
            <w:r>
              <w:rPr>
                <w:rFonts w:hint="eastAsia" w:ascii="宋体" w:hAnsi="宋体"/>
                <w:spacing w:val="0"/>
                <w:sz w:val="18"/>
                <w:szCs w:val="18"/>
                <w:shd w:val="clear" w:color="auto" w:fill="auto"/>
                <w:lang w:eastAsia="zh-CN"/>
              </w:rPr>
              <w:t>新增</w:t>
            </w:r>
          </w:p>
        </w:tc>
      </w:tr>
    </w:tbl>
    <w:p>
      <w:pPr>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标准先进性说明：</w:t>
      </w:r>
    </w:p>
    <w:p>
      <w:pPr>
        <w:ind w:firstLine="560" w:firstLineChars="200"/>
        <w:rPr>
          <w:rFonts w:hint="eastAsia" w:ascii="仿宋" w:hAnsi="仿宋" w:eastAsia="仿宋" w:cs="仿宋"/>
          <w:bCs/>
          <w:sz w:val="28"/>
          <w:szCs w:val="28"/>
          <w:lang w:val="zh-CN" w:eastAsia="zh-CN"/>
        </w:rPr>
      </w:pPr>
      <w:bookmarkStart w:id="6" w:name="_Hlk161677665"/>
      <w:r>
        <w:rPr>
          <w:rFonts w:hint="eastAsia" w:ascii="仿宋" w:hAnsi="仿宋" w:eastAsia="仿宋" w:cs="仿宋"/>
          <w:bCs/>
          <w:sz w:val="28"/>
          <w:szCs w:val="28"/>
          <w:lang w:eastAsia="zh-CN"/>
        </w:rPr>
        <w:t>1）</w:t>
      </w:r>
      <w:r>
        <w:rPr>
          <w:rFonts w:hint="eastAsia" w:ascii="仿宋" w:hAnsi="仿宋" w:eastAsia="仿宋" w:cs="仿宋"/>
          <w:bCs/>
          <w:sz w:val="28"/>
          <w:szCs w:val="28"/>
          <w:lang w:val="zh-CN" w:eastAsia="zh-CN"/>
        </w:rPr>
        <w:t>电磁兼容、食品接触材料安全：反映产品的安全卫生要求。</w:t>
      </w:r>
    </w:p>
    <w:p>
      <w:pPr>
        <w:ind w:firstLine="560" w:firstLineChars="200"/>
        <w:rPr>
          <w:rFonts w:hint="default" w:ascii="仿宋" w:hAnsi="仿宋" w:eastAsia="仿宋" w:cs="仿宋"/>
          <w:bCs/>
          <w:sz w:val="28"/>
          <w:szCs w:val="28"/>
          <w:lang w:val="en-US" w:eastAsia="zh-CN"/>
        </w:rPr>
      </w:pPr>
      <w:r>
        <w:rPr>
          <w:rFonts w:hint="eastAsia" w:ascii="仿宋" w:hAnsi="仿宋" w:eastAsia="仿宋" w:cs="仿宋"/>
          <w:bCs/>
          <w:sz w:val="28"/>
          <w:szCs w:val="28"/>
          <w:lang w:eastAsia="zh-CN"/>
        </w:rPr>
        <w:t>理由说明：电磁兼容优良的商用冷柜能保证产品使用不会受到外界电磁的干扰，同时也能确保自身发出电磁不会对周围产品使用生产不利影响，是国内外对电气电器产品的要求。</w:t>
      </w:r>
      <w:r>
        <w:rPr>
          <w:rFonts w:hint="eastAsia" w:ascii="仿宋" w:hAnsi="仿宋" w:eastAsia="仿宋" w:cs="仿宋"/>
          <w:bCs/>
          <w:sz w:val="28"/>
          <w:szCs w:val="28"/>
          <w:lang w:val="zh-CN" w:eastAsia="zh-CN"/>
        </w:rPr>
        <w:t>食品接触材料安全是保障用户的食品安全。这两项技术指标即是基础性指标，其性能的稳定性也是产品先进性的体现，也是其它先进性指标具有可行性的前提</w:t>
      </w:r>
      <w:r>
        <w:rPr>
          <w:rFonts w:hint="eastAsia" w:ascii="仿宋" w:hAnsi="仿宋" w:eastAsia="仿宋" w:cs="仿宋"/>
          <w:bCs/>
          <w:sz w:val="28"/>
          <w:szCs w:val="28"/>
          <w:lang w:eastAsia="zh-CN"/>
        </w:rPr>
        <w:t>，以确保产品工作能力、质量</w:t>
      </w:r>
      <w:r>
        <w:rPr>
          <w:rFonts w:hint="eastAsia" w:ascii="仿宋" w:hAnsi="仿宋" w:eastAsia="仿宋" w:cs="仿宋"/>
          <w:bCs/>
          <w:sz w:val="28"/>
          <w:szCs w:val="28"/>
          <w:lang w:val="en-US" w:eastAsia="zh-CN"/>
        </w:rPr>
        <w:t>和可靠性的保障和提升。</w:t>
      </w:r>
    </w:p>
    <w:p>
      <w:pPr>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w:t>
      </w:r>
      <w:r>
        <w:rPr>
          <w:rFonts w:hint="eastAsia" w:ascii="仿宋" w:hAnsi="仿宋" w:eastAsia="仿宋" w:cs="仿宋"/>
          <w:bCs/>
          <w:sz w:val="28"/>
          <w:szCs w:val="28"/>
          <w:lang w:val="zh-CN" w:eastAsia="zh-CN"/>
        </w:rPr>
        <w:t>耗电量、能效指数、振动、噪声、抗菌</w:t>
      </w:r>
      <w:r>
        <w:rPr>
          <w:rFonts w:hint="eastAsia" w:ascii="仿宋" w:hAnsi="仿宋" w:eastAsia="仿宋" w:cs="仿宋"/>
          <w:bCs/>
          <w:sz w:val="28"/>
          <w:szCs w:val="28"/>
          <w:lang w:val="en-US" w:eastAsia="zh-CN"/>
        </w:rPr>
        <w:t>：</w:t>
      </w:r>
      <w:r>
        <w:rPr>
          <w:rFonts w:hint="eastAsia" w:ascii="仿宋" w:hAnsi="仿宋" w:eastAsia="仿宋" w:cs="仿宋"/>
          <w:bCs/>
          <w:sz w:val="28"/>
          <w:szCs w:val="28"/>
          <w:lang w:eastAsia="zh-CN"/>
        </w:rPr>
        <w:t>反映产品结构、材料和绝热及运行功能优良</w:t>
      </w:r>
    </w:p>
    <w:p>
      <w:pPr>
        <w:ind w:firstLine="560" w:firstLineChars="200"/>
        <w:rPr>
          <w:rFonts w:hint="default" w:ascii="仿宋" w:hAnsi="仿宋" w:eastAsia="仿宋" w:cs="仿宋"/>
          <w:bCs/>
          <w:sz w:val="28"/>
          <w:szCs w:val="28"/>
          <w:lang w:val="en-US" w:eastAsia="zh-CN"/>
        </w:rPr>
      </w:pPr>
      <w:r>
        <w:rPr>
          <w:rFonts w:hint="eastAsia" w:ascii="仿宋" w:hAnsi="仿宋" w:eastAsia="仿宋" w:cs="仿宋"/>
          <w:bCs/>
          <w:sz w:val="28"/>
          <w:szCs w:val="28"/>
          <w:lang w:val="zh-CN" w:eastAsia="zh-CN"/>
        </w:rPr>
        <w:t>耗电量、能效指数、振动、噪声、抗菌</w:t>
      </w:r>
      <w:r>
        <w:rPr>
          <w:rFonts w:hint="eastAsia" w:ascii="仿宋" w:hAnsi="仿宋" w:eastAsia="仿宋" w:cs="仿宋"/>
          <w:bCs/>
          <w:sz w:val="28"/>
          <w:szCs w:val="28"/>
          <w:lang w:val="en-US" w:eastAsia="zh-CN"/>
        </w:rPr>
        <w:t>，是用户最关心的关键指标，是企业提高市场竞争力的核心，是制冷陈列柜产品技术提升的难点和痛点，也是佛山市</w:t>
      </w:r>
      <w:bookmarkStart w:id="7" w:name="OLE_LINK4"/>
      <w:r>
        <w:rPr>
          <w:rFonts w:hint="eastAsia" w:ascii="仿宋" w:hAnsi="仿宋" w:eastAsia="仿宋" w:cs="仿宋"/>
          <w:bCs/>
          <w:sz w:val="28"/>
          <w:szCs w:val="28"/>
          <w:lang w:val="en-US" w:eastAsia="zh-CN"/>
        </w:rPr>
        <w:t>制冷陈列柜</w:t>
      </w:r>
      <w:bookmarkEnd w:id="7"/>
      <w:r>
        <w:rPr>
          <w:rFonts w:hint="eastAsia" w:ascii="仿宋" w:hAnsi="仿宋" w:eastAsia="仿宋" w:cs="仿宋"/>
          <w:bCs/>
          <w:sz w:val="28"/>
          <w:szCs w:val="28"/>
          <w:lang w:val="en-US" w:eastAsia="zh-CN"/>
        </w:rPr>
        <w:t>能占据国内外市场的法宝。这些性能指标的提高并优于或新增于国标、行标，将为促进佛山市制冷陈列柜行业的高质量发展并引领行业的发展具有决定性作用，极大促进企业的市场品牌效应，</w:t>
      </w:r>
      <w:r>
        <w:rPr>
          <w:rFonts w:hint="eastAsia" w:ascii="仿宋" w:hAnsi="仿宋" w:eastAsia="仿宋" w:cs="仿宋"/>
          <w:bCs/>
          <w:sz w:val="28"/>
          <w:szCs w:val="28"/>
          <w:lang w:eastAsia="zh-CN"/>
        </w:rPr>
        <w:t>是国家推进产品更新换代和绿色发展的新质指标。</w:t>
      </w:r>
    </w:p>
    <w:p>
      <w:pPr>
        <w:pStyle w:val="16"/>
        <w:ind w:firstLine="560"/>
        <w:rPr>
          <w:rFonts w:ascii="仿宋" w:hAnsi="仿宋" w:eastAsia="仿宋" w:cs="仿宋"/>
          <w:bCs/>
          <w:sz w:val="28"/>
          <w:szCs w:val="28"/>
        </w:rPr>
      </w:pPr>
      <w:r>
        <w:rPr>
          <w:rFonts w:hint="eastAsia" w:ascii="仿宋" w:hAnsi="仿宋" w:eastAsia="仿宋" w:cs="仿宋"/>
          <w:bCs/>
          <w:sz w:val="28"/>
          <w:szCs w:val="28"/>
          <w:lang w:val="en-US" w:eastAsia="zh-CN"/>
        </w:rPr>
        <w:t>3</w:t>
      </w:r>
      <w:r>
        <w:rPr>
          <w:rFonts w:hint="eastAsia" w:ascii="仿宋" w:hAnsi="仿宋" w:eastAsia="仿宋" w:cs="仿宋"/>
          <w:bCs/>
          <w:sz w:val="28"/>
          <w:szCs w:val="28"/>
        </w:rPr>
        <w:t>）</w:t>
      </w:r>
      <w:bookmarkStart w:id="8" w:name="_Hlk161676697"/>
      <w:r>
        <w:rPr>
          <w:rFonts w:hint="eastAsia" w:ascii="仿宋" w:hAnsi="仿宋" w:eastAsia="仿宋" w:cs="仿宋"/>
          <w:bCs/>
          <w:sz w:val="28"/>
          <w:szCs w:val="28"/>
          <w:lang w:eastAsia="zh-CN"/>
        </w:rPr>
        <w:t>智能化性能</w:t>
      </w:r>
      <w:r>
        <w:rPr>
          <w:rFonts w:hint="eastAsia" w:ascii="仿宋" w:hAnsi="仿宋" w:eastAsia="仿宋" w:cs="仿宋"/>
          <w:bCs/>
          <w:sz w:val="28"/>
          <w:szCs w:val="28"/>
        </w:rPr>
        <w:t>：反映产品</w:t>
      </w:r>
      <w:r>
        <w:rPr>
          <w:rFonts w:hint="eastAsia" w:ascii="仿宋" w:hAnsi="仿宋" w:eastAsia="仿宋" w:cs="仿宋"/>
          <w:bCs/>
          <w:sz w:val="28"/>
          <w:szCs w:val="28"/>
          <w:lang w:eastAsia="zh-CN"/>
        </w:rPr>
        <w:t>高</w:t>
      </w:r>
      <w:r>
        <w:rPr>
          <w:rFonts w:hint="eastAsia" w:ascii="仿宋" w:hAnsi="仿宋" w:eastAsia="仿宋" w:cs="仿宋"/>
          <w:bCs/>
          <w:sz w:val="28"/>
          <w:szCs w:val="28"/>
        </w:rPr>
        <w:t>质量性</w:t>
      </w:r>
      <w:r>
        <w:rPr>
          <w:rFonts w:hint="eastAsia" w:ascii="仿宋" w:hAnsi="仿宋" w:eastAsia="仿宋" w:cs="仿宋"/>
          <w:bCs/>
          <w:sz w:val="28"/>
          <w:szCs w:val="28"/>
          <w:lang w:eastAsia="zh-CN"/>
        </w:rPr>
        <w:t>和前瞻性</w:t>
      </w:r>
      <w:r>
        <w:rPr>
          <w:rFonts w:hint="eastAsia" w:ascii="仿宋" w:hAnsi="仿宋" w:eastAsia="仿宋" w:cs="仿宋"/>
          <w:bCs/>
          <w:sz w:val="28"/>
          <w:szCs w:val="28"/>
        </w:rPr>
        <w:t>。</w:t>
      </w:r>
    </w:p>
    <w:p>
      <w:pPr>
        <w:pStyle w:val="16"/>
        <w:ind w:firstLine="560"/>
        <w:rPr>
          <w:rFonts w:hint="eastAsia" w:ascii="仿宋" w:hAnsi="仿宋" w:eastAsia="仿宋" w:cs="仿宋"/>
          <w:bCs/>
          <w:sz w:val="28"/>
          <w:szCs w:val="28"/>
        </w:rPr>
      </w:pPr>
      <w:r>
        <w:rPr>
          <w:rFonts w:hint="eastAsia" w:ascii="仿宋" w:hAnsi="仿宋" w:eastAsia="仿宋" w:cs="仿宋"/>
          <w:bCs/>
          <w:sz w:val="28"/>
          <w:szCs w:val="28"/>
        </w:rPr>
        <w:t>理由说明：</w:t>
      </w:r>
      <w:bookmarkEnd w:id="8"/>
      <w:r>
        <w:rPr>
          <w:rFonts w:hint="eastAsia" w:ascii="仿宋" w:hAnsi="仿宋" w:eastAsia="仿宋" w:cs="仿宋"/>
          <w:bCs/>
          <w:sz w:val="28"/>
          <w:szCs w:val="28"/>
          <w:lang w:eastAsia="zh-CN"/>
        </w:rPr>
        <w:t>产品智能化是国家产品更新换代和高质量产品要求的重要内容，是国家在十四五规范中重要产品发展和标准化方向，是国家高质量发展和新质生产力发展的重要内容，集中反映出产品的高质量性和前瞻性，为产品的高质量发展提供了动力</w:t>
      </w:r>
      <w:r>
        <w:rPr>
          <w:rFonts w:hint="eastAsia" w:ascii="仿宋" w:hAnsi="仿宋" w:eastAsia="仿宋" w:cs="仿宋"/>
          <w:bCs/>
          <w:sz w:val="28"/>
          <w:szCs w:val="28"/>
        </w:rPr>
        <w:t>。</w:t>
      </w:r>
    </w:p>
    <w:p>
      <w:pPr>
        <w:pStyle w:val="16"/>
        <w:spacing w:line="360" w:lineRule="auto"/>
        <w:ind w:firstLine="562"/>
        <w:rPr>
          <w:rFonts w:ascii="仿宋" w:hAnsi="仿宋" w:eastAsia="仿宋" w:cs="仿宋"/>
          <w:bCs/>
          <w:sz w:val="28"/>
          <w:szCs w:val="28"/>
        </w:rPr>
      </w:pPr>
      <w:r>
        <w:rPr>
          <w:rFonts w:hint="eastAsia" w:ascii="仿宋" w:hAnsi="仿宋" w:eastAsia="仿宋" w:cs="仿宋"/>
          <w:b/>
          <w:sz w:val="28"/>
          <w:szCs w:val="28"/>
          <w:lang w:val="en-US" w:eastAsia="zh-CN"/>
        </w:rPr>
        <w:t>4</w:t>
      </w:r>
      <w:r>
        <w:rPr>
          <w:rFonts w:hint="eastAsia" w:ascii="仿宋" w:hAnsi="仿宋" w:eastAsia="仿宋" w:cs="仿宋"/>
          <w:bCs/>
          <w:sz w:val="28"/>
          <w:szCs w:val="28"/>
        </w:rPr>
        <w:t>）</w:t>
      </w:r>
      <w:r>
        <w:rPr>
          <w:rFonts w:hint="eastAsia" w:ascii="仿宋" w:hAnsi="仿宋" w:eastAsia="仿宋" w:cs="仿宋"/>
          <w:bCs/>
          <w:sz w:val="28"/>
          <w:szCs w:val="28"/>
          <w:lang w:val="zh-CN" w:eastAsia="zh-CN"/>
        </w:rPr>
        <w:t>限用物质、制冷剂类型</w:t>
      </w:r>
      <w:r>
        <w:rPr>
          <w:rFonts w:hint="eastAsia" w:ascii="仿宋" w:hAnsi="仿宋" w:eastAsia="仿宋" w:cs="仿宋"/>
          <w:bCs/>
          <w:sz w:val="28"/>
          <w:szCs w:val="28"/>
        </w:rPr>
        <w:t>：反映产品安全环保属性要求。</w:t>
      </w:r>
    </w:p>
    <w:bookmarkEnd w:id="6"/>
    <w:p>
      <w:pPr>
        <w:pStyle w:val="16"/>
        <w:ind w:firstLine="560"/>
        <w:rPr>
          <w:rFonts w:hAnsi="宋体" w:cs="宋体"/>
          <w:kern w:val="2"/>
          <w:szCs w:val="21"/>
        </w:rPr>
      </w:pPr>
      <w:r>
        <w:rPr>
          <w:rFonts w:hint="eastAsia" w:ascii="仿宋" w:hAnsi="仿宋" w:eastAsia="仿宋" w:cs="仿宋"/>
          <w:bCs/>
          <w:sz w:val="28"/>
          <w:szCs w:val="28"/>
        </w:rPr>
        <w:t>理由说明：随着消费者对环保和健康的关注度不断提高，具备低有害物质含量的产品更容易受到市场的青睐。通过满足或超越相关标准和法规的要求，产品可以获得更多消费者的信任和认可，从而增强品牌影响力和市场份额</w:t>
      </w:r>
      <w:r>
        <w:rPr>
          <w:rFonts w:hint="eastAsia" w:ascii="仿宋" w:hAnsi="仿宋" w:eastAsia="仿宋" w:cs="仿宋"/>
          <w:bCs/>
          <w:sz w:val="28"/>
          <w:szCs w:val="28"/>
          <w:lang w:eastAsia="zh-CN"/>
        </w:rPr>
        <w:t>，也是国家绿色环保发展法律法规和政策要求</w:t>
      </w:r>
      <w:r>
        <w:rPr>
          <w:rFonts w:hint="eastAsia" w:ascii="仿宋" w:hAnsi="仿宋" w:eastAsia="仿宋" w:cs="仿宋"/>
          <w:bCs/>
          <w:sz w:val="28"/>
          <w:szCs w:val="28"/>
        </w:rPr>
        <w:t>。国标</w:t>
      </w:r>
      <w:r>
        <w:rPr>
          <w:rFonts w:hint="eastAsia" w:ascii="仿宋" w:hAnsi="仿宋" w:eastAsia="仿宋" w:cs="仿宋"/>
          <w:bCs/>
          <w:sz w:val="28"/>
          <w:szCs w:val="28"/>
          <w:lang w:eastAsia="zh-CN"/>
        </w:rPr>
        <w:t>、行标</w:t>
      </w:r>
      <w:r>
        <w:rPr>
          <w:rFonts w:hint="eastAsia" w:ascii="仿宋" w:hAnsi="仿宋" w:eastAsia="仿宋" w:cs="仿宋"/>
          <w:bCs/>
          <w:sz w:val="28"/>
          <w:szCs w:val="28"/>
        </w:rPr>
        <w:t>中没有规定</w:t>
      </w:r>
      <w:r>
        <w:rPr>
          <w:rFonts w:hint="eastAsia" w:ascii="仿宋" w:hAnsi="仿宋" w:eastAsia="仿宋" w:cs="仿宋"/>
          <w:bCs/>
          <w:sz w:val="28"/>
          <w:szCs w:val="28"/>
          <w:lang w:eastAsia="zh-CN"/>
        </w:rPr>
        <w:t>此两</w:t>
      </w:r>
      <w:r>
        <w:rPr>
          <w:rFonts w:hint="eastAsia" w:ascii="仿宋" w:hAnsi="仿宋" w:eastAsia="仿宋" w:cs="仿宋"/>
          <w:bCs/>
          <w:sz w:val="28"/>
          <w:szCs w:val="28"/>
        </w:rPr>
        <w:t>项指标，考虑到用户以及消费者特别关注此项指标，</w:t>
      </w:r>
      <w:r>
        <w:rPr>
          <w:rFonts w:hint="eastAsia" w:ascii="仿宋" w:hAnsi="仿宋" w:eastAsia="仿宋" w:cs="仿宋"/>
          <w:bCs/>
          <w:sz w:val="28"/>
          <w:szCs w:val="28"/>
          <w:lang w:eastAsia="zh-CN"/>
        </w:rPr>
        <w:t>且为国家绿色产业发展的要求，</w:t>
      </w:r>
      <w:r>
        <w:rPr>
          <w:rFonts w:hint="eastAsia" w:ascii="仿宋" w:hAnsi="仿宋" w:eastAsia="仿宋" w:cs="仿宋"/>
          <w:bCs/>
          <w:sz w:val="28"/>
          <w:szCs w:val="28"/>
        </w:rPr>
        <w:t>增加了此</w:t>
      </w:r>
      <w:r>
        <w:rPr>
          <w:rFonts w:hint="eastAsia" w:ascii="仿宋" w:hAnsi="仿宋" w:eastAsia="仿宋" w:cs="仿宋"/>
          <w:bCs/>
          <w:sz w:val="28"/>
          <w:szCs w:val="28"/>
          <w:lang w:eastAsia="zh-CN"/>
        </w:rPr>
        <w:t>两</w:t>
      </w:r>
      <w:r>
        <w:rPr>
          <w:rFonts w:hint="eastAsia" w:ascii="仿宋" w:hAnsi="仿宋" w:eastAsia="仿宋" w:cs="仿宋"/>
          <w:bCs/>
          <w:sz w:val="28"/>
          <w:szCs w:val="28"/>
        </w:rPr>
        <w:t>项指标的考核，且该项指标</w:t>
      </w:r>
      <w:r>
        <w:rPr>
          <w:rFonts w:hint="eastAsia" w:ascii="仿宋" w:hAnsi="仿宋" w:eastAsia="仿宋" w:cs="仿宋"/>
          <w:bCs/>
          <w:sz w:val="28"/>
          <w:szCs w:val="28"/>
          <w:lang w:eastAsia="zh-CN"/>
        </w:rPr>
        <w:t>不低于</w:t>
      </w:r>
      <w:r>
        <w:rPr>
          <w:rFonts w:hint="eastAsia" w:ascii="仿宋" w:hAnsi="仿宋" w:eastAsia="仿宋" w:cs="仿宋"/>
          <w:bCs/>
          <w:sz w:val="28"/>
          <w:szCs w:val="28"/>
        </w:rPr>
        <w:t>欧盟ROSH指令</w:t>
      </w:r>
      <w:r>
        <w:rPr>
          <w:rFonts w:hint="eastAsia" w:ascii="仿宋" w:hAnsi="仿宋" w:eastAsia="仿宋" w:cs="仿宋"/>
          <w:bCs/>
          <w:sz w:val="28"/>
          <w:szCs w:val="28"/>
          <w:lang w:eastAsia="zh-CN"/>
        </w:rPr>
        <w:t>的要求，也是是国家推进产品更新换代和绿色环保发展的新质指标。</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 xml:space="preserve">4.2  </w:t>
      </w:r>
      <w:r>
        <w:rPr>
          <w:rFonts w:ascii="黑体" w:hAnsi="宋体" w:eastAsia="黑体" w:cs="黑体"/>
          <w:sz w:val="28"/>
          <w:szCs w:val="28"/>
          <w:lang w:eastAsia="zh-CN"/>
        </w:rPr>
        <w:t>试验方法</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本标准要求指标的试验方法均有对应的国家标准和行业标准测试方法，所以本标准的试验方法均采用相应的国家标准和行业标准测试方法进行。</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w:t>
      </w:r>
      <w:r>
        <w:rPr>
          <w:rFonts w:ascii="黑体" w:hAnsi="宋体" w:eastAsia="黑体" w:cs="黑体"/>
          <w:sz w:val="28"/>
          <w:szCs w:val="28"/>
          <w:lang w:eastAsia="zh-CN"/>
        </w:rPr>
        <w:t>3</w:t>
      </w:r>
      <w:r>
        <w:rPr>
          <w:rFonts w:hint="eastAsia" w:ascii="黑体" w:hAnsi="宋体" w:eastAsia="黑体" w:cs="黑体"/>
          <w:sz w:val="28"/>
          <w:szCs w:val="28"/>
          <w:lang w:eastAsia="zh-CN"/>
        </w:rPr>
        <w:t xml:space="preserve">  </w:t>
      </w:r>
      <w:r>
        <w:rPr>
          <w:rFonts w:ascii="黑体" w:hAnsi="宋体" w:eastAsia="黑体" w:cs="黑体"/>
          <w:sz w:val="28"/>
          <w:szCs w:val="28"/>
          <w:lang w:eastAsia="zh-CN"/>
        </w:rPr>
        <w:t>检验规则</w:t>
      </w:r>
    </w:p>
    <w:p>
      <w:pPr>
        <w:spacing w:line="276"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根据产品标准的要求，兼顾生产方、买方及第三方的需求，既要保证判定的准确性又要力求可行，将判定规则分为出厂检验和型式检验，分别明确了检验项目、不合格分类及抽样方案和判定规则的确定。</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w:t>
      </w:r>
      <w:r>
        <w:rPr>
          <w:rFonts w:ascii="黑体" w:hAnsi="宋体" w:eastAsia="黑体" w:cs="黑体"/>
          <w:sz w:val="28"/>
          <w:szCs w:val="28"/>
          <w:lang w:eastAsia="zh-CN"/>
        </w:rPr>
        <w:t>4</w:t>
      </w:r>
      <w:r>
        <w:rPr>
          <w:rFonts w:hint="eastAsia" w:ascii="黑体" w:hAnsi="宋体" w:eastAsia="黑体" w:cs="黑体"/>
          <w:sz w:val="28"/>
          <w:szCs w:val="28"/>
          <w:lang w:eastAsia="zh-CN"/>
        </w:rPr>
        <w:t xml:space="preserve">  标志、</w:t>
      </w:r>
      <w:r>
        <w:rPr>
          <w:rFonts w:ascii="黑体" w:hAnsi="宋体" w:eastAsia="黑体" w:cs="黑体"/>
          <w:sz w:val="28"/>
          <w:szCs w:val="28"/>
          <w:lang w:eastAsia="zh-CN"/>
        </w:rPr>
        <w:t>包装、运输、贮存</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根据国家对产品的使用说明要求，标准规定了产品的使用说明应符合标准中的技术要求。</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产品包装按规定执行，运输、贮存根据产品的需要作了相应的规定。</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4.5  质量承诺</w:t>
      </w:r>
    </w:p>
    <w:p>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规定了产品保修期、维修服务和客户响应。</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5  与现行相关法律、法规、规章及相关标准的协调性</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本标准内容符合现行法律、法规。</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 xml:space="preserve">6  标准的实施与宣贯 </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已批准发布的佛山标准，文本由佛山市佛山标准和卓越绩效管理促进会在官方网站 （http://）上全文公布，供社会免费查阅。鼓励相关单位在标准信息公共服务平台（http://www.cpbz.gov.cn/）上自我声明公开执行本标准。</w:t>
      </w:r>
      <w:r>
        <w:rPr>
          <w:rFonts w:ascii="仿宋" w:hAnsi="仿宋" w:eastAsia="仿宋" w:cs="仿宋"/>
          <w:sz w:val="28"/>
          <w:szCs w:val="28"/>
          <w:lang w:eastAsia="zh-CN"/>
        </w:rPr>
        <w:t> </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 xml:space="preserve">7  其他应予说明的事项 </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标准不涉及专利。</w:t>
      </w:r>
    </w:p>
    <w:p>
      <w:pPr>
        <w:widowControl/>
        <w:spacing w:line="360" w:lineRule="auto"/>
        <w:ind w:firstLine="560" w:firstLineChars="200"/>
        <w:jc w:val="right"/>
        <w:rPr>
          <w:rFonts w:ascii="仿宋" w:hAnsi="仿宋" w:eastAsia="仿宋" w:cs="仿宋"/>
          <w:sz w:val="28"/>
          <w:szCs w:val="28"/>
          <w:lang w:eastAsia="zh-CN"/>
        </w:rPr>
      </w:pPr>
      <w:r>
        <w:rPr>
          <w:rFonts w:hint="eastAsia" w:ascii="仿宋" w:hAnsi="仿宋" w:eastAsia="仿宋" w:cs="仿宋"/>
          <w:sz w:val="28"/>
          <w:szCs w:val="28"/>
          <w:lang w:eastAsia="zh-CN"/>
        </w:rPr>
        <w:t xml:space="preserve">《佛山标准 </w:t>
      </w:r>
      <w:r>
        <w:rPr>
          <w:rFonts w:hint="eastAsia" w:ascii="仿宋" w:hAnsi="仿宋" w:eastAsia="仿宋" w:cs="仿宋"/>
          <w:bCs/>
          <w:sz w:val="28"/>
          <w:szCs w:val="28"/>
          <w:lang w:val="en-US" w:eastAsia="zh-CN"/>
        </w:rPr>
        <w:t>制冷陈列柜</w:t>
      </w:r>
      <w:r>
        <w:rPr>
          <w:rFonts w:hint="eastAsia" w:ascii="仿宋" w:hAnsi="仿宋" w:eastAsia="仿宋" w:cs="仿宋"/>
          <w:sz w:val="28"/>
          <w:szCs w:val="28"/>
          <w:lang w:eastAsia="zh-CN"/>
        </w:rPr>
        <w:t xml:space="preserve">》标准研制工作组 </w:t>
      </w:r>
    </w:p>
    <w:p>
      <w:pPr>
        <w:widowControl/>
        <w:spacing w:line="360" w:lineRule="auto"/>
        <w:ind w:right="1120" w:firstLine="560" w:firstLineChars="200"/>
        <w:jc w:val="right"/>
        <w:rPr>
          <w:rFonts w:ascii="仿宋" w:hAnsi="仿宋" w:eastAsia="仿宋" w:cs="仿宋"/>
          <w:sz w:val="28"/>
          <w:szCs w:val="28"/>
          <w:lang w:eastAsia="zh-CN"/>
        </w:rPr>
      </w:pPr>
      <w:r>
        <w:rPr>
          <w:rFonts w:hint="eastAsia" w:ascii="仿宋" w:hAnsi="仿宋" w:eastAsia="仿宋" w:cs="仿宋"/>
          <w:sz w:val="28"/>
          <w:szCs w:val="28"/>
          <w:lang w:eastAsia="zh-CN"/>
        </w:rPr>
        <w:t>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4</w:t>
      </w:r>
      <w:r>
        <w:rPr>
          <w:rFonts w:hint="eastAsia" w:ascii="仿宋" w:hAnsi="仿宋" w:eastAsia="仿宋" w:cs="仿宋"/>
          <w:sz w:val="28"/>
          <w:szCs w:val="28"/>
          <w:lang w:eastAsia="zh-CN"/>
        </w:rPr>
        <w:t>月</w:t>
      </w:r>
      <w:r>
        <w:rPr>
          <w:rFonts w:hint="default" w:ascii="仿宋" w:hAnsi="仿宋" w:eastAsia="仿宋" w:cs="仿宋"/>
          <w:sz w:val="28"/>
          <w:szCs w:val="28"/>
          <w:lang w:val="en-US" w:eastAsia="zh-CN"/>
        </w:rPr>
        <w:t>2</w:t>
      </w: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日</w:t>
      </w:r>
    </w:p>
    <w:sectPr>
      <w:footerReference r:id="rId3" w:type="default"/>
      <w:pgSz w:w="11906" w:h="16838"/>
      <w:pgMar w:top="1440" w:right="1080" w:bottom="1440" w:left="1080" w:header="851" w:footer="992" w:gutter="0"/>
      <w:cols w:space="425" w:num="1"/>
      <w:docGrid w:type="lines" w:linePitch="326"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modern"/>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TimesNewRomanPSMT">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lang w:eastAsia="zh-CN"/>
      </w:rPr>
      <w:pict>
        <v:shape id="_x0000_s4097" o:spid="_x0000_s4097" o:spt="202" type="#_x0000_t202" style="position:absolute;left:0pt;margin-top:0pt;height:144pt;width:144pt;mso-position-horizontal:outside;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">
          <v:path/>
          <v:fill on="f" focussize="0,0"/>
          <v:stroke on="f" weight="0.5pt" joinstyle="miter"/>
          <v:imagedata o:title=""/>
          <o:lock v:ext="edit"/>
          <v:textbox inset="0mm,0mm,0mm,0mm" style="mso-fit-shape-to-text:t;">
            <w:txbxContent>
              <w:p>
                <w:pPr>
                  <w:pStyle w:val="7"/>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10</w:t>
                </w:r>
                <w:r>
                  <w:rPr>
                    <w:rFonts w:hint="eastAsia"/>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EC9D27"/>
    <w:multiLevelType w:val="singleLevel"/>
    <w:tmpl w:val="F2EC9D27"/>
    <w:lvl w:ilvl="0" w:tentative="0">
      <w:start w:val="1"/>
      <w:numFmt w:val="decimal"/>
      <w:suff w:val="nothing"/>
      <w:lvlText w:val="%1）"/>
      <w:lvlJc w:val="left"/>
    </w:lvl>
  </w:abstractNum>
  <w:abstractNum w:abstractNumId="1">
    <w:nsid w:val="079102AD"/>
    <w:multiLevelType w:val="multilevel"/>
    <w:tmpl w:val="079102AD"/>
    <w:lvl w:ilvl="0" w:tentative="0">
      <w:start w:val="1"/>
      <w:numFmt w:val="decimal"/>
      <w:pStyle w:val="24"/>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
    <w:nsid w:val="19782EDA"/>
    <w:multiLevelType w:val="multilevel"/>
    <w:tmpl w:val="19782EDA"/>
    <w:lvl w:ilvl="0" w:tentative="0">
      <w:start w:val="1"/>
      <w:numFmt w:val="lowerLetter"/>
      <w:pStyle w:val="22"/>
      <w:lvlText w:val="%1)"/>
      <w:lvlJc w:val="left"/>
      <w:pPr>
        <w:tabs>
          <w:tab w:val="left" w:pos="840"/>
        </w:tabs>
        <w:ind w:left="839" w:hanging="419"/>
      </w:pPr>
      <w:rPr>
        <w:rFonts w:hint="eastAsia" w:ascii="宋体" w:hAnsi="Times New Roman" w:eastAsia="宋体" w:cs="宋体"/>
        <w:b w:val="0"/>
        <w:sz w:val="21"/>
        <w:szCs w:val="21"/>
      </w:rPr>
    </w:lvl>
    <w:lvl w:ilvl="1" w:tentative="0">
      <w:start w:val="1"/>
      <w:numFmt w:val="decimal"/>
      <w:lvlText w:val="%2)"/>
      <w:lvlJc w:val="left"/>
      <w:pPr>
        <w:tabs>
          <w:tab w:val="left" w:pos="1260"/>
        </w:tabs>
        <w:ind w:left="1259" w:hanging="419"/>
      </w:pPr>
    </w:lvl>
    <w:lvl w:ilvl="2" w:tentative="0">
      <w:start w:val="1"/>
      <w:numFmt w:val="decimal"/>
      <w:lvlText w:val="(%3)"/>
      <w:lvlJc w:val="left"/>
      <w:pPr>
        <w:tabs>
          <w:tab w:val="left" w:pos="0"/>
        </w:tabs>
        <w:ind w:left="1679" w:hanging="420"/>
      </w:pPr>
      <w:rPr>
        <w:rFonts w:hint="eastAsia" w:ascii="宋体" w:hAnsi="Times New Roman" w:eastAsia="宋体" w:cs="宋体"/>
        <w:b w:val="0"/>
        <w:sz w:val="21"/>
        <w:szCs w:val="21"/>
      </w:rPr>
    </w:lvl>
    <w:lvl w:ilvl="3" w:tentative="0">
      <w:start w:val="1"/>
      <w:numFmt w:val="decimal"/>
      <w:lvlText w:val="%4."/>
      <w:lvlJc w:val="left"/>
      <w:pPr>
        <w:tabs>
          <w:tab w:val="left" w:pos="2100"/>
        </w:tabs>
        <w:ind w:left="2099" w:hanging="419"/>
      </w:pPr>
    </w:lvl>
    <w:lvl w:ilvl="4" w:tentative="0">
      <w:start w:val="1"/>
      <w:numFmt w:val="lowerLetter"/>
      <w:lvlText w:val="%5)"/>
      <w:lvlJc w:val="left"/>
      <w:pPr>
        <w:tabs>
          <w:tab w:val="left" w:pos="2520"/>
        </w:tabs>
        <w:ind w:left="2519" w:hanging="419"/>
      </w:pPr>
    </w:lvl>
    <w:lvl w:ilvl="5" w:tentative="0">
      <w:start w:val="1"/>
      <w:numFmt w:val="lowerRoman"/>
      <w:lvlText w:val="%6."/>
      <w:lvlJc w:val="right"/>
      <w:pPr>
        <w:tabs>
          <w:tab w:val="left" w:pos="2940"/>
        </w:tabs>
        <w:ind w:left="2939" w:hanging="419"/>
      </w:pPr>
    </w:lvl>
    <w:lvl w:ilvl="6" w:tentative="0">
      <w:start w:val="1"/>
      <w:numFmt w:val="decimal"/>
      <w:lvlText w:val="%7."/>
      <w:lvlJc w:val="left"/>
      <w:pPr>
        <w:tabs>
          <w:tab w:val="left" w:pos="3360"/>
        </w:tabs>
        <w:ind w:left="3359" w:hanging="419"/>
      </w:pPr>
    </w:lvl>
    <w:lvl w:ilvl="7" w:tentative="0">
      <w:start w:val="1"/>
      <w:numFmt w:val="lowerLetter"/>
      <w:lvlText w:val="%8)"/>
      <w:lvlJc w:val="left"/>
      <w:pPr>
        <w:tabs>
          <w:tab w:val="left" w:pos="3780"/>
        </w:tabs>
        <w:ind w:left="3779" w:hanging="419"/>
      </w:pPr>
    </w:lvl>
    <w:lvl w:ilvl="8" w:tentative="0">
      <w:start w:val="1"/>
      <w:numFmt w:val="lowerRoman"/>
      <w:lvlText w:val="%9."/>
      <w:lvlJc w:val="right"/>
      <w:pPr>
        <w:tabs>
          <w:tab w:val="left" w:pos="4200"/>
        </w:tabs>
        <w:ind w:left="4199" w:hanging="419"/>
      </w:pPr>
    </w:lvl>
  </w:abstractNum>
  <w:abstractNum w:abstractNumId="3">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9"/>
      <w:suff w:val="nothing"/>
      <w:lvlText w:val="%1.%2　"/>
      <w:lvlJc w:val="left"/>
      <w:pPr>
        <w:ind w:left="709"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18"/>
      <w:suff w:val="nothing"/>
      <w:lvlText w:val="%1.%2.%3　"/>
      <w:lvlJc w:val="left"/>
      <w:pPr>
        <w:ind w:left="0" w:firstLine="0"/>
      </w:pPr>
      <w:rPr>
        <w:rFonts w:hint="eastAsia" w:ascii="黑体" w:hAnsi="Times New Roman" w:eastAsia="黑体"/>
        <w:b w:val="0"/>
        <w:i w:val="0"/>
        <w:color w:val="auto"/>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557C2AF5"/>
    <w:multiLevelType w:val="multilevel"/>
    <w:tmpl w:val="557C2AF5"/>
    <w:lvl w:ilvl="0" w:tentative="0">
      <w:start w:val="1"/>
      <w:numFmt w:val="decimal"/>
      <w:pStyle w:val="34"/>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646260FA"/>
    <w:multiLevelType w:val="multilevel"/>
    <w:tmpl w:val="646260FA"/>
    <w:lvl w:ilvl="0" w:tentative="0">
      <w:start w:val="1"/>
      <w:numFmt w:val="decimal"/>
      <w:pStyle w:val="33"/>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6">
    <w:nsid w:val="67D090C6"/>
    <w:multiLevelType w:val="multilevel"/>
    <w:tmpl w:val="67D090C6"/>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7">
    <w:nsid w:val="6FC930AC"/>
    <w:multiLevelType w:val="multilevel"/>
    <w:tmpl w:val="6FC930AC"/>
    <w:lvl w:ilvl="0" w:tentative="0">
      <w:start w:val="1"/>
      <w:numFmt w:val="decimal"/>
      <w:suff w:val="nothing"/>
      <w:lvlText w:val="%1　"/>
      <w:lvlJc w:val="left"/>
      <w:pPr>
        <w:ind w:left="0" w:firstLine="0"/>
      </w:pPr>
      <w:rPr>
        <w:rFonts w:hint="eastAsia" w:ascii="黑体" w:hAnsi="黑体" w:eastAsia="黑体"/>
        <w:sz w:val="20"/>
      </w:rPr>
    </w:lvl>
    <w:lvl w:ilvl="1" w:tentative="0">
      <w:start w:val="1"/>
      <w:numFmt w:val="decimal"/>
      <w:suff w:val="nothing"/>
      <w:lvlText w:val="%1.%2　"/>
      <w:lvlJc w:val="left"/>
      <w:pPr>
        <w:ind w:left="1276" w:firstLine="0"/>
      </w:pPr>
      <w:rPr>
        <w:rFonts w:hint="eastAsia" w:ascii="黑体" w:hAnsi="黑体" w:eastAsia="黑体"/>
        <w:sz w:val="20"/>
      </w:rPr>
    </w:lvl>
    <w:lvl w:ilvl="2" w:tentative="0">
      <w:start w:val="1"/>
      <w:numFmt w:val="decimal"/>
      <w:pStyle w:val="40"/>
      <w:suff w:val="nothing"/>
      <w:lvlText w:val="%1.%2.%3　"/>
      <w:lvlJc w:val="left"/>
      <w:pPr>
        <w:ind w:left="0" w:firstLine="0"/>
      </w:pPr>
      <w:rPr>
        <w:rFonts w:hint="eastAsia" w:ascii="黑体" w:hAnsi="黑体" w:eastAsia="黑体"/>
        <w:sz w:val="20"/>
      </w:rPr>
    </w:lvl>
    <w:lvl w:ilvl="3" w:tentative="0">
      <w:start w:val="1"/>
      <w:numFmt w:val="decimal"/>
      <w:suff w:val="nothing"/>
      <w:lvlText w:val="%1.%2.%3.%4　"/>
      <w:lvlJc w:val="left"/>
      <w:pPr>
        <w:ind w:left="0" w:firstLine="0"/>
      </w:pPr>
      <w:rPr>
        <w:rFonts w:hint="eastAsia" w:ascii="黑体" w:hAnsi="黑体" w:eastAsia="黑体"/>
        <w:sz w:val="20"/>
      </w:rPr>
    </w:lvl>
    <w:lvl w:ilvl="4" w:tentative="0">
      <w:start w:val="1"/>
      <w:numFmt w:val="decimal"/>
      <w:suff w:val="nothing"/>
      <w:lvlText w:val="%1.%2.%3.%4.%5　"/>
      <w:lvlJc w:val="left"/>
      <w:pPr>
        <w:ind w:left="0" w:firstLine="0"/>
      </w:pPr>
      <w:rPr>
        <w:rFonts w:hint="eastAsia" w:ascii="黑体" w:hAnsi="黑体" w:eastAsia="黑体"/>
        <w:sz w:val="20"/>
      </w:rPr>
    </w:lvl>
    <w:lvl w:ilvl="5" w:tentative="0">
      <w:start w:val="1"/>
      <w:numFmt w:val="decimal"/>
      <w:suff w:val="nothing"/>
      <w:lvlText w:val="%1.%2.%3.%4.%5.%6　"/>
      <w:lvlJc w:val="left"/>
      <w:pPr>
        <w:ind w:left="0" w:firstLine="0"/>
      </w:pPr>
      <w:rPr>
        <w:rFonts w:hint="eastAsia" w:ascii="黑体" w:hAnsi="黑体" w:eastAsia="黑体"/>
        <w:sz w:val="20"/>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8">
    <w:nsid w:val="7279CB2F"/>
    <w:multiLevelType w:val="singleLevel"/>
    <w:tmpl w:val="7279CB2F"/>
    <w:lvl w:ilvl="0" w:tentative="0">
      <w:start w:val="1"/>
      <w:numFmt w:val="decimal"/>
      <w:suff w:val="nothing"/>
      <w:lvlText w:val="%1）"/>
      <w:lvlJc w:val="left"/>
    </w:lvl>
  </w:abstractNum>
  <w:num w:numId="1">
    <w:abstractNumId w:val="3"/>
  </w:num>
  <w:num w:numId="2">
    <w:abstractNumId w:val="2"/>
  </w:num>
  <w:num w:numId="3">
    <w:abstractNumId w:val="1"/>
  </w:num>
  <w:num w:numId="4">
    <w:abstractNumId w:val="5"/>
  </w:num>
  <w:num w:numId="5">
    <w:abstractNumId w:val="4"/>
  </w:num>
  <w:num w:numId="6">
    <w:abstractNumId w:val="7"/>
  </w:num>
  <w:num w:numId="7">
    <w:abstractNumId w:val="6"/>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DQ3NzI0YjNlNjM1OWRmMTNmYzVhZDE1Nzk1MzVlOTEifQ=="/>
  </w:docVars>
  <w:rsids>
    <w:rsidRoot w:val="5EBC12FA"/>
    <w:rsid w:val="00002D36"/>
    <w:rsid w:val="00010510"/>
    <w:rsid w:val="0001069C"/>
    <w:rsid w:val="0001178E"/>
    <w:rsid w:val="00011B1D"/>
    <w:rsid w:val="000133BD"/>
    <w:rsid w:val="00017C5C"/>
    <w:rsid w:val="00020296"/>
    <w:rsid w:val="000210B7"/>
    <w:rsid w:val="0002183F"/>
    <w:rsid w:val="00021B53"/>
    <w:rsid w:val="0002393D"/>
    <w:rsid w:val="000256A0"/>
    <w:rsid w:val="00026E7C"/>
    <w:rsid w:val="000315F1"/>
    <w:rsid w:val="000324BA"/>
    <w:rsid w:val="000327C0"/>
    <w:rsid w:val="0003468E"/>
    <w:rsid w:val="00035EB0"/>
    <w:rsid w:val="000379E8"/>
    <w:rsid w:val="000400C3"/>
    <w:rsid w:val="0004121A"/>
    <w:rsid w:val="000416D2"/>
    <w:rsid w:val="00041A0B"/>
    <w:rsid w:val="000439EC"/>
    <w:rsid w:val="00046ECD"/>
    <w:rsid w:val="000532DB"/>
    <w:rsid w:val="00054019"/>
    <w:rsid w:val="00055186"/>
    <w:rsid w:val="000574F9"/>
    <w:rsid w:val="0005788F"/>
    <w:rsid w:val="00061B69"/>
    <w:rsid w:val="00061FBE"/>
    <w:rsid w:val="000630C5"/>
    <w:rsid w:val="00063DFD"/>
    <w:rsid w:val="0006524A"/>
    <w:rsid w:val="00066063"/>
    <w:rsid w:val="000673F4"/>
    <w:rsid w:val="00067B62"/>
    <w:rsid w:val="00070FBE"/>
    <w:rsid w:val="000738BC"/>
    <w:rsid w:val="000760AF"/>
    <w:rsid w:val="00076BAA"/>
    <w:rsid w:val="0008080B"/>
    <w:rsid w:val="00081572"/>
    <w:rsid w:val="0008480B"/>
    <w:rsid w:val="00085839"/>
    <w:rsid w:val="0008624E"/>
    <w:rsid w:val="00087088"/>
    <w:rsid w:val="0008780E"/>
    <w:rsid w:val="0009129D"/>
    <w:rsid w:val="0009542D"/>
    <w:rsid w:val="000960BF"/>
    <w:rsid w:val="000973D8"/>
    <w:rsid w:val="00097D97"/>
    <w:rsid w:val="000A0057"/>
    <w:rsid w:val="000A03FB"/>
    <w:rsid w:val="000A1E89"/>
    <w:rsid w:val="000A4042"/>
    <w:rsid w:val="000A43C3"/>
    <w:rsid w:val="000A466B"/>
    <w:rsid w:val="000B040B"/>
    <w:rsid w:val="000B1D65"/>
    <w:rsid w:val="000B29B4"/>
    <w:rsid w:val="000B420C"/>
    <w:rsid w:val="000B71E6"/>
    <w:rsid w:val="000B7755"/>
    <w:rsid w:val="000C2289"/>
    <w:rsid w:val="000C3665"/>
    <w:rsid w:val="000C4BCF"/>
    <w:rsid w:val="000C6CB6"/>
    <w:rsid w:val="000C7C69"/>
    <w:rsid w:val="000D0B48"/>
    <w:rsid w:val="000D1BE4"/>
    <w:rsid w:val="000D34D8"/>
    <w:rsid w:val="000D4BC3"/>
    <w:rsid w:val="000D579A"/>
    <w:rsid w:val="000E007C"/>
    <w:rsid w:val="000E03A1"/>
    <w:rsid w:val="000E074D"/>
    <w:rsid w:val="000E176B"/>
    <w:rsid w:val="000E4E4F"/>
    <w:rsid w:val="000E53C5"/>
    <w:rsid w:val="000F14B2"/>
    <w:rsid w:val="000F2509"/>
    <w:rsid w:val="000F252D"/>
    <w:rsid w:val="00101C70"/>
    <w:rsid w:val="00101ECB"/>
    <w:rsid w:val="0010348A"/>
    <w:rsid w:val="00106EAD"/>
    <w:rsid w:val="00110881"/>
    <w:rsid w:val="00111465"/>
    <w:rsid w:val="001114FF"/>
    <w:rsid w:val="0012051C"/>
    <w:rsid w:val="00124AB0"/>
    <w:rsid w:val="00127180"/>
    <w:rsid w:val="00131104"/>
    <w:rsid w:val="001354F7"/>
    <w:rsid w:val="001368AB"/>
    <w:rsid w:val="00137EC5"/>
    <w:rsid w:val="001403CC"/>
    <w:rsid w:val="001422EC"/>
    <w:rsid w:val="00142703"/>
    <w:rsid w:val="00151F4E"/>
    <w:rsid w:val="001522C3"/>
    <w:rsid w:val="00154027"/>
    <w:rsid w:val="00157412"/>
    <w:rsid w:val="00160A3B"/>
    <w:rsid w:val="001620FC"/>
    <w:rsid w:val="001665F6"/>
    <w:rsid w:val="001673BC"/>
    <w:rsid w:val="00174901"/>
    <w:rsid w:val="0017524B"/>
    <w:rsid w:val="00177050"/>
    <w:rsid w:val="001805B8"/>
    <w:rsid w:val="00187A3D"/>
    <w:rsid w:val="00192A8A"/>
    <w:rsid w:val="001955CB"/>
    <w:rsid w:val="0019614F"/>
    <w:rsid w:val="001A4E9C"/>
    <w:rsid w:val="001A6329"/>
    <w:rsid w:val="001A634B"/>
    <w:rsid w:val="001A7065"/>
    <w:rsid w:val="001A7B84"/>
    <w:rsid w:val="001B06B8"/>
    <w:rsid w:val="001B1B8E"/>
    <w:rsid w:val="001B4C07"/>
    <w:rsid w:val="001B4F98"/>
    <w:rsid w:val="001B7C1E"/>
    <w:rsid w:val="001C076A"/>
    <w:rsid w:val="001C29DA"/>
    <w:rsid w:val="001C37E3"/>
    <w:rsid w:val="001C4949"/>
    <w:rsid w:val="001C7AA8"/>
    <w:rsid w:val="001C7BB6"/>
    <w:rsid w:val="001D6418"/>
    <w:rsid w:val="001D6A9E"/>
    <w:rsid w:val="001E0E6D"/>
    <w:rsid w:val="001E1893"/>
    <w:rsid w:val="001E383F"/>
    <w:rsid w:val="001E6A03"/>
    <w:rsid w:val="001F4EE2"/>
    <w:rsid w:val="001F6E8E"/>
    <w:rsid w:val="001F74B6"/>
    <w:rsid w:val="0020028E"/>
    <w:rsid w:val="002011A2"/>
    <w:rsid w:val="0020124A"/>
    <w:rsid w:val="00205F8F"/>
    <w:rsid w:val="002060F4"/>
    <w:rsid w:val="00206D85"/>
    <w:rsid w:val="0020738D"/>
    <w:rsid w:val="00216CD4"/>
    <w:rsid w:val="00221540"/>
    <w:rsid w:val="002215F7"/>
    <w:rsid w:val="0022161E"/>
    <w:rsid w:val="00221B6D"/>
    <w:rsid w:val="002274A4"/>
    <w:rsid w:val="00227F08"/>
    <w:rsid w:val="00230F1B"/>
    <w:rsid w:val="002317F8"/>
    <w:rsid w:val="002329C3"/>
    <w:rsid w:val="002350EA"/>
    <w:rsid w:val="002400C7"/>
    <w:rsid w:val="00242C58"/>
    <w:rsid w:val="00244A0D"/>
    <w:rsid w:val="00244B76"/>
    <w:rsid w:val="00244E49"/>
    <w:rsid w:val="00246CAA"/>
    <w:rsid w:val="0024794B"/>
    <w:rsid w:val="00250AC6"/>
    <w:rsid w:val="00253AA8"/>
    <w:rsid w:val="00257EDA"/>
    <w:rsid w:val="00263B91"/>
    <w:rsid w:val="00264B27"/>
    <w:rsid w:val="002651C7"/>
    <w:rsid w:val="00266373"/>
    <w:rsid w:val="002702B7"/>
    <w:rsid w:val="00271257"/>
    <w:rsid w:val="00271ADF"/>
    <w:rsid w:val="00277FAD"/>
    <w:rsid w:val="00281521"/>
    <w:rsid w:val="00281848"/>
    <w:rsid w:val="00281C72"/>
    <w:rsid w:val="00282F6B"/>
    <w:rsid w:val="002834AE"/>
    <w:rsid w:val="00283E16"/>
    <w:rsid w:val="002864DD"/>
    <w:rsid w:val="002867A3"/>
    <w:rsid w:val="00287145"/>
    <w:rsid w:val="002912CF"/>
    <w:rsid w:val="00293B91"/>
    <w:rsid w:val="00294765"/>
    <w:rsid w:val="00294B38"/>
    <w:rsid w:val="00294D13"/>
    <w:rsid w:val="002A1F2C"/>
    <w:rsid w:val="002A4377"/>
    <w:rsid w:val="002A6D11"/>
    <w:rsid w:val="002A6E58"/>
    <w:rsid w:val="002A7F08"/>
    <w:rsid w:val="002B1159"/>
    <w:rsid w:val="002B1C95"/>
    <w:rsid w:val="002B207C"/>
    <w:rsid w:val="002B7DE2"/>
    <w:rsid w:val="002C11AC"/>
    <w:rsid w:val="002C2535"/>
    <w:rsid w:val="002C38B5"/>
    <w:rsid w:val="002C57FC"/>
    <w:rsid w:val="002C782D"/>
    <w:rsid w:val="002D1B11"/>
    <w:rsid w:val="002D3DEF"/>
    <w:rsid w:val="002E4FB0"/>
    <w:rsid w:val="002E6186"/>
    <w:rsid w:val="002E6C99"/>
    <w:rsid w:val="002F16CD"/>
    <w:rsid w:val="002F1B13"/>
    <w:rsid w:val="002F226C"/>
    <w:rsid w:val="002F3A01"/>
    <w:rsid w:val="002F448C"/>
    <w:rsid w:val="002F4C40"/>
    <w:rsid w:val="003014FB"/>
    <w:rsid w:val="00301655"/>
    <w:rsid w:val="00304B2E"/>
    <w:rsid w:val="00306562"/>
    <w:rsid w:val="003147F9"/>
    <w:rsid w:val="00321415"/>
    <w:rsid w:val="003216CD"/>
    <w:rsid w:val="00322FE3"/>
    <w:rsid w:val="003233E8"/>
    <w:rsid w:val="00335D75"/>
    <w:rsid w:val="0034212A"/>
    <w:rsid w:val="003446E3"/>
    <w:rsid w:val="00344E73"/>
    <w:rsid w:val="00353C90"/>
    <w:rsid w:val="0035716D"/>
    <w:rsid w:val="00357589"/>
    <w:rsid w:val="00357EF1"/>
    <w:rsid w:val="0036151E"/>
    <w:rsid w:val="00363708"/>
    <w:rsid w:val="0036388E"/>
    <w:rsid w:val="00365011"/>
    <w:rsid w:val="0036575A"/>
    <w:rsid w:val="00365B55"/>
    <w:rsid w:val="00366E71"/>
    <w:rsid w:val="0037008B"/>
    <w:rsid w:val="00373E56"/>
    <w:rsid w:val="003754A7"/>
    <w:rsid w:val="003761C2"/>
    <w:rsid w:val="0037647E"/>
    <w:rsid w:val="00377747"/>
    <w:rsid w:val="003806C6"/>
    <w:rsid w:val="00382119"/>
    <w:rsid w:val="0038265D"/>
    <w:rsid w:val="00382F30"/>
    <w:rsid w:val="00383123"/>
    <w:rsid w:val="003852C7"/>
    <w:rsid w:val="00387619"/>
    <w:rsid w:val="00391E6A"/>
    <w:rsid w:val="003920D1"/>
    <w:rsid w:val="00392E7F"/>
    <w:rsid w:val="003935F0"/>
    <w:rsid w:val="003A2729"/>
    <w:rsid w:val="003A294C"/>
    <w:rsid w:val="003A4471"/>
    <w:rsid w:val="003A6933"/>
    <w:rsid w:val="003A6F31"/>
    <w:rsid w:val="003B1DCC"/>
    <w:rsid w:val="003B434C"/>
    <w:rsid w:val="003B4646"/>
    <w:rsid w:val="003B523B"/>
    <w:rsid w:val="003B61C4"/>
    <w:rsid w:val="003B7AAA"/>
    <w:rsid w:val="003B7CD0"/>
    <w:rsid w:val="003B7DB1"/>
    <w:rsid w:val="003C1C38"/>
    <w:rsid w:val="003C27D7"/>
    <w:rsid w:val="003C53D9"/>
    <w:rsid w:val="003C633A"/>
    <w:rsid w:val="003C6353"/>
    <w:rsid w:val="003D0264"/>
    <w:rsid w:val="003D05AA"/>
    <w:rsid w:val="003E101B"/>
    <w:rsid w:val="003E11D6"/>
    <w:rsid w:val="003E1B3E"/>
    <w:rsid w:val="003E1BBA"/>
    <w:rsid w:val="003E1EA4"/>
    <w:rsid w:val="003E2D05"/>
    <w:rsid w:val="003E4AF6"/>
    <w:rsid w:val="003E6541"/>
    <w:rsid w:val="003F518E"/>
    <w:rsid w:val="00402E8B"/>
    <w:rsid w:val="00403B11"/>
    <w:rsid w:val="00405B9E"/>
    <w:rsid w:val="0040752C"/>
    <w:rsid w:val="0041035E"/>
    <w:rsid w:val="00410A58"/>
    <w:rsid w:val="004117B5"/>
    <w:rsid w:val="00414868"/>
    <w:rsid w:val="0041491C"/>
    <w:rsid w:val="00414E87"/>
    <w:rsid w:val="0041610B"/>
    <w:rsid w:val="004206AF"/>
    <w:rsid w:val="004206C8"/>
    <w:rsid w:val="00421517"/>
    <w:rsid w:val="004252B8"/>
    <w:rsid w:val="00425E47"/>
    <w:rsid w:val="00427688"/>
    <w:rsid w:val="00427D0F"/>
    <w:rsid w:val="00431B7D"/>
    <w:rsid w:val="00434715"/>
    <w:rsid w:val="00437BBC"/>
    <w:rsid w:val="004408E1"/>
    <w:rsid w:val="0044136E"/>
    <w:rsid w:val="00441D4F"/>
    <w:rsid w:val="0044370C"/>
    <w:rsid w:val="00444833"/>
    <w:rsid w:val="004455B9"/>
    <w:rsid w:val="0044647E"/>
    <w:rsid w:val="0045134B"/>
    <w:rsid w:val="00454A10"/>
    <w:rsid w:val="00455DCD"/>
    <w:rsid w:val="004563C2"/>
    <w:rsid w:val="004567D2"/>
    <w:rsid w:val="004601C6"/>
    <w:rsid w:val="00461F94"/>
    <w:rsid w:val="00462AEF"/>
    <w:rsid w:val="0046556B"/>
    <w:rsid w:val="00467449"/>
    <w:rsid w:val="0047005D"/>
    <w:rsid w:val="00470A7D"/>
    <w:rsid w:val="0047385A"/>
    <w:rsid w:val="00473D05"/>
    <w:rsid w:val="0047510E"/>
    <w:rsid w:val="0047574F"/>
    <w:rsid w:val="00477962"/>
    <w:rsid w:val="00482E82"/>
    <w:rsid w:val="0048578A"/>
    <w:rsid w:val="00485AD9"/>
    <w:rsid w:val="00490A31"/>
    <w:rsid w:val="00492782"/>
    <w:rsid w:val="0049433D"/>
    <w:rsid w:val="00494B94"/>
    <w:rsid w:val="004966D8"/>
    <w:rsid w:val="00497603"/>
    <w:rsid w:val="004A248B"/>
    <w:rsid w:val="004A64F5"/>
    <w:rsid w:val="004A68BA"/>
    <w:rsid w:val="004A73F6"/>
    <w:rsid w:val="004B07A8"/>
    <w:rsid w:val="004B2320"/>
    <w:rsid w:val="004B5221"/>
    <w:rsid w:val="004B59D8"/>
    <w:rsid w:val="004B7473"/>
    <w:rsid w:val="004C1DDC"/>
    <w:rsid w:val="004C768A"/>
    <w:rsid w:val="004D13D4"/>
    <w:rsid w:val="004D14A2"/>
    <w:rsid w:val="004D2BB9"/>
    <w:rsid w:val="004D4F92"/>
    <w:rsid w:val="004E0381"/>
    <w:rsid w:val="004E18D1"/>
    <w:rsid w:val="004E5CAA"/>
    <w:rsid w:val="004F20D7"/>
    <w:rsid w:val="004F3238"/>
    <w:rsid w:val="004F4268"/>
    <w:rsid w:val="004F5A0D"/>
    <w:rsid w:val="004F602B"/>
    <w:rsid w:val="00500F0C"/>
    <w:rsid w:val="005063CA"/>
    <w:rsid w:val="0051255A"/>
    <w:rsid w:val="00514E71"/>
    <w:rsid w:val="005168F0"/>
    <w:rsid w:val="00521868"/>
    <w:rsid w:val="00522646"/>
    <w:rsid w:val="00522869"/>
    <w:rsid w:val="00523A2F"/>
    <w:rsid w:val="0052528F"/>
    <w:rsid w:val="0053036C"/>
    <w:rsid w:val="00530AE3"/>
    <w:rsid w:val="00531905"/>
    <w:rsid w:val="0054426D"/>
    <w:rsid w:val="00544805"/>
    <w:rsid w:val="00545D6A"/>
    <w:rsid w:val="00546067"/>
    <w:rsid w:val="005466E8"/>
    <w:rsid w:val="00551008"/>
    <w:rsid w:val="005546C6"/>
    <w:rsid w:val="00554962"/>
    <w:rsid w:val="00555EFC"/>
    <w:rsid w:val="00562D2E"/>
    <w:rsid w:val="005632F6"/>
    <w:rsid w:val="005637C1"/>
    <w:rsid w:val="00564246"/>
    <w:rsid w:val="0056425C"/>
    <w:rsid w:val="00567894"/>
    <w:rsid w:val="005710E8"/>
    <w:rsid w:val="005727B0"/>
    <w:rsid w:val="00575827"/>
    <w:rsid w:val="00575E97"/>
    <w:rsid w:val="005770DC"/>
    <w:rsid w:val="00577CBB"/>
    <w:rsid w:val="00585DE2"/>
    <w:rsid w:val="00587050"/>
    <w:rsid w:val="0058749A"/>
    <w:rsid w:val="00587ED9"/>
    <w:rsid w:val="005912D6"/>
    <w:rsid w:val="00591FE7"/>
    <w:rsid w:val="00594DDE"/>
    <w:rsid w:val="00595B33"/>
    <w:rsid w:val="00596341"/>
    <w:rsid w:val="005A22EC"/>
    <w:rsid w:val="005A2C0F"/>
    <w:rsid w:val="005A3F23"/>
    <w:rsid w:val="005B0448"/>
    <w:rsid w:val="005B1E54"/>
    <w:rsid w:val="005B64B8"/>
    <w:rsid w:val="005B7834"/>
    <w:rsid w:val="005B7E28"/>
    <w:rsid w:val="005C02FA"/>
    <w:rsid w:val="005C40E6"/>
    <w:rsid w:val="005C4302"/>
    <w:rsid w:val="005C597B"/>
    <w:rsid w:val="005C59BA"/>
    <w:rsid w:val="005C7FED"/>
    <w:rsid w:val="005D08FA"/>
    <w:rsid w:val="005D1622"/>
    <w:rsid w:val="005D1E75"/>
    <w:rsid w:val="005D483A"/>
    <w:rsid w:val="005E05D8"/>
    <w:rsid w:val="005E1235"/>
    <w:rsid w:val="005E4B37"/>
    <w:rsid w:val="005E506B"/>
    <w:rsid w:val="005E7033"/>
    <w:rsid w:val="005F07C1"/>
    <w:rsid w:val="005F119D"/>
    <w:rsid w:val="005F17C0"/>
    <w:rsid w:val="005F1F0E"/>
    <w:rsid w:val="005F3267"/>
    <w:rsid w:val="005F59AB"/>
    <w:rsid w:val="005F7336"/>
    <w:rsid w:val="0060124D"/>
    <w:rsid w:val="006033D2"/>
    <w:rsid w:val="0060344B"/>
    <w:rsid w:val="006043A7"/>
    <w:rsid w:val="00607BA8"/>
    <w:rsid w:val="006110B5"/>
    <w:rsid w:val="006140C9"/>
    <w:rsid w:val="0062374A"/>
    <w:rsid w:val="006238B6"/>
    <w:rsid w:val="006257CC"/>
    <w:rsid w:val="00625924"/>
    <w:rsid w:val="00625CF0"/>
    <w:rsid w:val="00626064"/>
    <w:rsid w:val="0062718A"/>
    <w:rsid w:val="00635B2A"/>
    <w:rsid w:val="00635DA5"/>
    <w:rsid w:val="00636FCF"/>
    <w:rsid w:val="00637225"/>
    <w:rsid w:val="00641134"/>
    <w:rsid w:val="006413A6"/>
    <w:rsid w:val="00642CBA"/>
    <w:rsid w:val="00642E8E"/>
    <w:rsid w:val="00643F98"/>
    <w:rsid w:val="00644EE3"/>
    <w:rsid w:val="006500BE"/>
    <w:rsid w:val="00654EE1"/>
    <w:rsid w:val="00657573"/>
    <w:rsid w:val="00663EA1"/>
    <w:rsid w:val="00664658"/>
    <w:rsid w:val="0066639A"/>
    <w:rsid w:val="00670D01"/>
    <w:rsid w:val="006734AB"/>
    <w:rsid w:val="006739D4"/>
    <w:rsid w:val="00674CAA"/>
    <w:rsid w:val="0068085C"/>
    <w:rsid w:val="00681E2E"/>
    <w:rsid w:val="00681F5A"/>
    <w:rsid w:val="00682AC8"/>
    <w:rsid w:val="00684FEB"/>
    <w:rsid w:val="00686379"/>
    <w:rsid w:val="00686CC4"/>
    <w:rsid w:val="00687898"/>
    <w:rsid w:val="00691FA9"/>
    <w:rsid w:val="006927EA"/>
    <w:rsid w:val="0069292F"/>
    <w:rsid w:val="00693079"/>
    <w:rsid w:val="0069389C"/>
    <w:rsid w:val="006956B5"/>
    <w:rsid w:val="006A09A2"/>
    <w:rsid w:val="006A3468"/>
    <w:rsid w:val="006A6235"/>
    <w:rsid w:val="006A6C3E"/>
    <w:rsid w:val="006B0296"/>
    <w:rsid w:val="006B3A55"/>
    <w:rsid w:val="006B3C15"/>
    <w:rsid w:val="006B598A"/>
    <w:rsid w:val="006B73D9"/>
    <w:rsid w:val="006B76C4"/>
    <w:rsid w:val="006C1373"/>
    <w:rsid w:val="006C2118"/>
    <w:rsid w:val="006C52F5"/>
    <w:rsid w:val="006C597B"/>
    <w:rsid w:val="006C6EB7"/>
    <w:rsid w:val="006D1DDD"/>
    <w:rsid w:val="006D2D92"/>
    <w:rsid w:val="006D40F3"/>
    <w:rsid w:val="006E0D1A"/>
    <w:rsid w:val="006E179C"/>
    <w:rsid w:val="006E2AD4"/>
    <w:rsid w:val="006E4FB7"/>
    <w:rsid w:val="006F0567"/>
    <w:rsid w:val="006F2D9C"/>
    <w:rsid w:val="006F30DA"/>
    <w:rsid w:val="006F50A9"/>
    <w:rsid w:val="006F76DC"/>
    <w:rsid w:val="00700781"/>
    <w:rsid w:val="00702273"/>
    <w:rsid w:val="007042E0"/>
    <w:rsid w:val="00705022"/>
    <w:rsid w:val="00705410"/>
    <w:rsid w:val="00705722"/>
    <w:rsid w:val="00707461"/>
    <w:rsid w:val="00707C4F"/>
    <w:rsid w:val="007133A5"/>
    <w:rsid w:val="00713BBF"/>
    <w:rsid w:val="007158F3"/>
    <w:rsid w:val="00720EC8"/>
    <w:rsid w:val="007225EC"/>
    <w:rsid w:val="007227CC"/>
    <w:rsid w:val="007267B4"/>
    <w:rsid w:val="00727AB9"/>
    <w:rsid w:val="00731D0C"/>
    <w:rsid w:val="00732B61"/>
    <w:rsid w:val="0073567E"/>
    <w:rsid w:val="00741895"/>
    <w:rsid w:val="00743A2D"/>
    <w:rsid w:val="0074451B"/>
    <w:rsid w:val="0074483A"/>
    <w:rsid w:val="007478F4"/>
    <w:rsid w:val="007504CC"/>
    <w:rsid w:val="00752711"/>
    <w:rsid w:val="00754658"/>
    <w:rsid w:val="00754FCE"/>
    <w:rsid w:val="007559FD"/>
    <w:rsid w:val="007561EF"/>
    <w:rsid w:val="0075753B"/>
    <w:rsid w:val="00757D5A"/>
    <w:rsid w:val="007635CF"/>
    <w:rsid w:val="00771D4A"/>
    <w:rsid w:val="00776CBE"/>
    <w:rsid w:val="00777A36"/>
    <w:rsid w:val="007819AD"/>
    <w:rsid w:val="007821B0"/>
    <w:rsid w:val="00782FCD"/>
    <w:rsid w:val="00783399"/>
    <w:rsid w:val="00784EB3"/>
    <w:rsid w:val="007867AA"/>
    <w:rsid w:val="00786C32"/>
    <w:rsid w:val="007875A3"/>
    <w:rsid w:val="007915C3"/>
    <w:rsid w:val="00791ACF"/>
    <w:rsid w:val="00792719"/>
    <w:rsid w:val="0079694E"/>
    <w:rsid w:val="00796C3C"/>
    <w:rsid w:val="0079713F"/>
    <w:rsid w:val="007A0B52"/>
    <w:rsid w:val="007A0FD8"/>
    <w:rsid w:val="007A486D"/>
    <w:rsid w:val="007B06EA"/>
    <w:rsid w:val="007B417B"/>
    <w:rsid w:val="007B4AC0"/>
    <w:rsid w:val="007B5304"/>
    <w:rsid w:val="007B56B8"/>
    <w:rsid w:val="007B6528"/>
    <w:rsid w:val="007B77C9"/>
    <w:rsid w:val="007C5704"/>
    <w:rsid w:val="007C78A9"/>
    <w:rsid w:val="007C7930"/>
    <w:rsid w:val="007D3C2E"/>
    <w:rsid w:val="007E1EE9"/>
    <w:rsid w:val="007E4EE9"/>
    <w:rsid w:val="007E74BC"/>
    <w:rsid w:val="007F2DED"/>
    <w:rsid w:val="007F2F4B"/>
    <w:rsid w:val="007F6366"/>
    <w:rsid w:val="00800691"/>
    <w:rsid w:val="00801451"/>
    <w:rsid w:val="00803827"/>
    <w:rsid w:val="008043C6"/>
    <w:rsid w:val="00804414"/>
    <w:rsid w:val="00805928"/>
    <w:rsid w:val="00806B6E"/>
    <w:rsid w:val="008107BD"/>
    <w:rsid w:val="00810F7A"/>
    <w:rsid w:val="00811D42"/>
    <w:rsid w:val="00813F7E"/>
    <w:rsid w:val="008158D1"/>
    <w:rsid w:val="00816EA9"/>
    <w:rsid w:val="00824CB1"/>
    <w:rsid w:val="00827038"/>
    <w:rsid w:val="0082781C"/>
    <w:rsid w:val="0083540C"/>
    <w:rsid w:val="00837839"/>
    <w:rsid w:val="0084041A"/>
    <w:rsid w:val="008448DC"/>
    <w:rsid w:val="008475A8"/>
    <w:rsid w:val="00850E06"/>
    <w:rsid w:val="00851E9E"/>
    <w:rsid w:val="00861863"/>
    <w:rsid w:val="00862278"/>
    <w:rsid w:val="00862D82"/>
    <w:rsid w:val="0086454F"/>
    <w:rsid w:val="00865667"/>
    <w:rsid w:val="008673F9"/>
    <w:rsid w:val="00870E5E"/>
    <w:rsid w:val="00872B06"/>
    <w:rsid w:val="008756BF"/>
    <w:rsid w:val="0087632D"/>
    <w:rsid w:val="00876F60"/>
    <w:rsid w:val="00886689"/>
    <w:rsid w:val="00887DE2"/>
    <w:rsid w:val="00891FE9"/>
    <w:rsid w:val="00895780"/>
    <w:rsid w:val="008960DD"/>
    <w:rsid w:val="00897A6C"/>
    <w:rsid w:val="008A41DD"/>
    <w:rsid w:val="008A461D"/>
    <w:rsid w:val="008A4E9C"/>
    <w:rsid w:val="008A50CC"/>
    <w:rsid w:val="008B14CA"/>
    <w:rsid w:val="008B1DB4"/>
    <w:rsid w:val="008B33C1"/>
    <w:rsid w:val="008B415E"/>
    <w:rsid w:val="008C0141"/>
    <w:rsid w:val="008C0561"/>
    <w:rsid w:val="008C0AD6"/>
    <w:rsid w:val="008C1884"/>
    <w:rsid w:val="008C57F6"/>
    <w:rsid w:val="008C735B"/>
    <w:rsid w:val="008D12A7"/>
    <w:rsid w:val="008D32E3"/>
    <w:rsid w:val="008D3BE1"/>
    <w:rsid w:val="008D48B3"/>
    <w:rsid w:val="008D51BB"/>
    <w:rsid w:val="008E0186"/>
    <w:rsid w:val="008E09C7"/>
    <w:rsid w:val="008E33EB"/>
    <w:rsid w:val="008E5109"/>
    <w:rsid w:val="008E7AC9"/>
    <w:rsid w:val="008F0C47"/>
    <w:rsid w:val="008F11B7"/>
    <w:rsid w:val="00900CA5"/>
    <w:rsid w:val="009017D9"/>
    <w:rsid w:val="00903B5C"/>
    <w:rsid w:val="0090591E"/>
    <w:rsid w:val="009111E0"/>
    <w:rsid w:val="009111ED"/>
    <w:rsid w:val="0091273E"/>
    <w:rsid w:val="00912EEA"/>
    <w:rsid w:val="00917CAA"/>
    <w:rsid w:val="009203D8"/>
    <w:rsid w:val="00935DF9"/>
    <w:rsid w:val="009403BC"/>
    <w:rsid w:val="00941D75"/>
    <w:rsid w:val="00942D31"/>
    <w:rsid w:val="0094543C"/>
    <w:rsid w:val="0095101A"/>
    <w:rsid w:val="0095134E"/>
    <w:rsid w:val="0095289C"/>
    <w:rsid w:val="00953E90"/>
    <w:rsid w:val="00954DA0"/>
    <w:rsid w:val="00956AAF"/>
    <w:rsid w:val="009612D3"/>
    <w:rsid w:val="00962872"/>
    <w:rsid w:val="00963698"/>
    <w:rsid w:val="00965071"/>
    <w:rsid w:val="0096619E"/>
    <w:rsid w:val="0097246D"/>
    <w:rsid w:val="0097266A"/>
    <w:rsid w:val="0097342D"/>
    <w:rsid w:val="00974896"/>
    <w:rsid w:val="0097573E"/>
    <w:rsid w:val="0097690B"/>
    <w:rsid w:val="00976C51"/>
    <w:rsid w:val="009779EC"/>
    <w:rsid w:val="009820E8"/>
    <w:rsid w:val="00982E35"/>
    <w:rsid w:val="009830D4"/>
    <w:rsid w:val="009842B6"/>
    <w:rsid w:val="00984E45"/>
    <w:rsid w:val="00986263"/>
    <w:rsid w:val="009869A5"/>
    <w:rsid w:val="00987453"/>
    <w:rsid w:val="009915A3"/>
    <w:rsid w:val="009924B3"/>
    <w:rsid w:val="009949FC"/>
    <w:rsid w:val="009A02E0"/>
    <w:rsid w:val="009A0BEB"/>
    <w:rsid w:val="009A15B8"/>
    <w:rsid w:val="009A3407"/>
    <w:rsid w:val="009A4088"/>
    <w:rsid w:val="009A7C2F"/>
    <w:rsid w:val="009B2DE9"/>
    <w:rsid w:val="009B357D"/>
    <w:rsid w:val="009B56CF"/>
    <w:rsid w:val="009B57D6"/>
    <w:rsid w:val="009B59D7"/>
    <w:rsid w:val="009B6DF1"/>
    <w:rsid w:val="009C1B44"/>
    <w:rsid w:val="009C20CC"/>
    <w:rsid w:val="009C2848"/>
    <w:rsid w:val="009C36CF"/>
    <w:rsid w:val="009C6653"/>
    <w:rsid w:val="009C704C"/>
    <w:rsid w:val="009C791E"/>
    <w:rsid w:val="009D0C73"/>
    <w:rsid w:val="009D1D9A"/>
    <w:rsid w:val="009D4013"/>
    <w:rsid w:val="009D7FD4"/>
    <w:rsid w:val="009E0600"/>
    <w:rsid w:val="009E2067"/>
    <w:rsid w:val="009E22BA"/>
    <w:rsid w:val="009E41B2"/>
    <w:rsid w:val="009E4B13"/>
    <w:rsid w:val="009E51C5"/>
    <w:rsid w:val="009E5A29"/>
    <w:rsid w:val="009E5D0A"/>
    <w:rsid w:val="009E62AF"/>
    <w:rsid w:val="009F1B42"/>
    <w:rsid w:val="009F2A2F"/>
    <w:rsid w:val="009F2C0A"/>
    <w:rsid w:val="00A00AED"/>
    <w:rsid w:val="00A01D28"/>
    <w:rsid w:val="00A02499"/>
    <w:rsid w:val="00A02F5A"/>
    <w:rsid w:val="00A05230"/>
    <w:rsid w:val="00A05C22"/>
    <w:rsid w:val="00A0635C"/>
    <w:rsid w:val="00A0676B"/>
    <w:rsid w:val="00A06A9D"/>
    <w:rsid w:val="00A16E91"/>
    <w:rsid w:val="00A17C56"/>
    <w:rsid w:val="00A20B49"/>
    <w:rsid w:val="00A21B9B"/>
    <w:rsid w:val="00A22C85"/>
    <w:rsid w:val="00A258F0"/>
    <w:rsid w:val="00A25DD0"/>
    <w:rsid w:val="00A268DE"/>
    <w:rsid w:val="00A27CFD"/>
    <w:rsid w:val="00A30ADA"/>
    <w:rsid w:val="00A30CDD"/>
    <w:rsid w:val="00A32C56"/>
    <w:rsid w:val="00A3567B"/>
    <w:rsid w:val="00A358B8"/>
    <w:rsid w:val="00A365AB"/>
    <w:rsid w:val="00A379F9"/>
    <w:rsid w:val="00A45987"/>
    <w:rsid w:val="00A4603B"/>
    <w:rsid w:val="00A476BA"/>
    <w:rsid w:val="00A50E03"/>
    <w:rsid w:val="00A563E0"/>
    <w:rsid w:val="00A56892"/>
    <w:rsid w:val="00A56E5B"/>
    <w:rsid w:val="00A64486"/>
    <w:rsid w:val="00A655FE"/>
    <w:rsid w:val="00A73999"/>
    <w:rsid w:val="00A740EF"/>
    <w:rsid w:val="00A76671"/>
    <w:rsid w:val="00A83784"/>
    <w:rsid w:val="00A85849"/>
    <w:rsid w:val="00A90F90"/>
    <w:rsid w:val="00A91427"/>
    <w:rsid w:val="00A93EED"/>
    <w:rsid w:val="00A9547A"/>
    <w:rsid w:val="00A96731"/>
    <w:rsid w:val="00A96C59"/>
    <w:rsid w:val="00AA0323"/>
    <w:rsid w:val="00AA1711"/>
    <w:rsid w:val="00AA53AA"/>
    <w:rsid w:val="00AA6123"/>
    <w:rsid w:val="00AA6203"/>
    <w:rsid w:val="00AA6662"/>
    <w:rsid w:val="00AA73ED"/>
    <w:rsid w:val="00AB3E52"/>
    <w:rsid w:val="00AB4C78"/>
    <w:rsid w:val="00AC37A6"/>
    <w:rsid w:val="00AC603A"/>
    <w:rsid w:val="00AC6A97"/>
    <w:rsid w:val="00AC700F"/>
    <w:rsid w:val="00AD0659"/>
    <w:rsid w:val="00AD0944"/>
    <w:rsid w:val="00AD10A2"/>
    <w:rsid w:val="00AD2356"/>
    <w:rsid w:val="00AD2E28"/>
    <w:rsid w:val="00AD3290"/>
    <w:rsid w:val="00AF087C"/>
    <w:rsid w:val="00AF089D"/>
    <w:rsid w:val="00AF1A17"/>
    <w:rsid w:val="00AF299E"/>
    <w:rsid w:val="00AF5A5F"/>
    <w:rsid w:val="00AF6DFE"/>
    <w:rsid w:val="00AF74B0"/>
    <w:rsid w:val="00B01605"/>
    <w:rsid w:val="00B0179C"/>
    <w:rsid w:val="00B02785"/>
    <w:rsid w:val="00B06091"/>
    <w:rsid w:val="00B104C0"/>
    <w:rsid w:val="00B12FC3"/>
    <w:rsid w:val="00B13096"/>
    <w:rsid w:val="00B158CE"/>
    <w:rsid w:val="00B15C58"/>
    <w:rsid w:val="00B15CD8"/>
    <w:rsid w:val="00B17329"/>
    <w:rsid w:val="00B22392"/>
    <w:rsid w:val="00B237A3"/>
    <w:rsid w:val="00B25481"/>
    <w:rsid w:val="00B2749F"/>
    <w:rsid w:val="00B277A6"/>
    <w:rsid w:val="00B33209"/>
    <w:rsid w:val="00B33383"/>
    <w:rsid w:val="00B372F2"/>
    <w:rsid w:val="00B41A56"/>
    <w:rsid w:val="00B42A45"/>
    <w:rsid w:val="00B440A5"/>
    <w:rsid w:val="00B46ACF"/>
    <w:rsid w:val="00B51A86"/>
    <w:rsid w:val="00B51E9A"/>
    <w:rsid w:val="00B525E1"/>
    <w:rsid w:val="00B53EEA"/>
    <w:rsid w:val="00B55821"/>
    <w:rsid w:val="00B608F6"/>
    <w:rsid w:val="00B60ED3"/>
    <w:rsid w:val="00B63617"/>
    <w:rsid w:val="00B64DB5"/>
    <w:rsid w:val="00B65D78"/>
    <w:rsid w:val="00B70ED9"/>
    <w:rsid w:val="00B72B03"/>
    <w:rsid w:val="00B75AA4"/>
    <w:rsid w:val="00B81017"/>
    <w:rsid w:val="00B8533C"/>
    <w:rsid w:val="00B866F8"/>
    <w:rsid w:val="00B877CD"/>
    <w:rsid w:val="00B87ECF"/>
    <w:rsid w:val="00B90512"/>
    <w:rsid w:val="00B93A70"/>
    <w:rsid w:val="00BA721F"/>
    <w:rsid w:val="00BA74CE"/>
    <w:rsid w:val="00BA7C40"/>
    <w:rsid w:val="00BB0BD8"/>
    <w:rsid w:val="00BB4832"/>
    <w:rsid w:val="00BB59DD"/>
    <w:rsid w:val="00BC2F2E"/>
    <w:rsid w:val="00BC58E3"/>
    <w:rsid w:val="00BC5A6B"/>
    <w:rsid w:val="00BD0275"/>
    <w:rsid w:val="00BD6AA8"/>
    <w:rsid w:val="00BE2F77"/>
    <w:rsid w:val="00BE3410"/>
    <w:rsid w:val="00BE343E"/>
    <w:rsid w:val="00BE3C10"/>
    <w:rsid w:val="00BE47A3"/>
    <w:rsid w:val="00BF2154"/>
    <w:rsid w:val="00BF3D17"/>
    <w:rsid w:val="00BF629C"/>
    <w:rsid w:val="00C00657"/>
    <w:rsid w:val="00C01AB8"/>
    <w:rsid w:val="00C03B17"/>
    <w:rsid w:val="00C03C2A"/>
    <w:rsid w:val="00C05615"/>
    <w:rsid w:val="00C05D91"/>
    <w:rsid w:val="00C06FF7"/>
    <w:rsid w:val="00C1181D"/>
    <w:rsid w:val="00C13280"/>
    <w:rsid w:val="00C13D89"/>
    <w:rsid w:val="00C13E32"/>
    <w:rsid w:val="00C14D3F"/>
    <w:rsid w:val="00C14FDD"/>
    <w:rsid w:val="00C17AE7"/>
    <w:rsid w:val="00C27657"/>
    <w:rsid w:val="00C30183"/>
    <w:rsid w:val="00C31243"/>
    <w:rsid w:val="00C3300C"/>
    <w:rsid w:val="00C33029"/>
    <w:rsid w:val="00C338EA"/>
    <w:rsid w:val="00C33B85"/>
    <w:rsid w:val="00C35C45"/>
    <w:rsid w:val="00C36814"/>
    <w:rsid w:val="00C37795"/>
    <w:rsid w:val="00C40539"/>
    <w:rsid w:val="00C4214E"/>
    <w:rsid w:val="00C4283D"/>
    <w:rsid w:val="00C50284"/>
    <w:rsid w:val="00C525BF"/>
    <w:rsid w:val="00C550F8"/>
    <w:rsid w:val="00C560C2"/>
    <w:rsid w:val="00C57ABB"/>
    <w:rsid w:val="00C57B3C"/>
    <w:rsid w:val="00C60E30"/>
    <w:rsid w:val="00C62140"/>
    <w:rsid w:val="00C63682"/>
    <w:rsid w:val="00C64864"/>
    <w:rsid w:val="00C67EB8"/>
    <w:rsid w:val="00C70622"/>
    <w:rsid w:val="00C70ECB"/>
    <w:rsid w:val="00C718E8"/>
    <w:rsid w:val="00C726F9"/>
    <w:rsid w:val="00C738CA"/>
    <w:rsid w:val="00C766F3"/>
    <w:rsid w:val="00C806C1"/>
    <w:rsid w:val="00C84EAD"/>
    <w:rsid w:val="00C878E4"/>
    <w:rsid w:val="00C91323"/>
    <w:rsid w:val="00CA006F"/>
    <w:rsid w:val="00CA11AC"/>
    <w:rsid w:val="00CA408B"/>
    <w:rsid w:val="00CA66DB"/>
    <w:rsid w:val="00CA7BDA"/>
    <w:rsid w:val="00CB5812"/>
    <w:rsid w:val="00CB5DE3"/>
    <w:rsid w:val="00CB7350"/>
    <w:rsid w:val="00CC1BA9"/>
    <w:rsid w:val="00CC2E77"/>
    <w:rsid w:val="00CC38B9"/>
    <w:rsid w:val="00CC4F7C"/>
    <w:rsid w:val="00CD01C2"/>
    <w:rsid w:val="00CD1574"/>
    <w:rsid w:val="00CD4AF4"/>
    <w:rsid w:val="00CD6B55"/>
    <w:rsid w:val="00CD7D5D"/>
    <w:rsid w:val="00CE5822"/>
    <w:rsid w:val="00CE692D"/>
    <w:rsid w:val="00CE7920"/>
    <w:rsid w:val="00CF160B"/>
    <w:rsid w:val="00CF24E9"/>
    <w:rsid w:val="00CF7DB9"/>
    <w:rsid w:val="00D00F17"/>
    <w:rsid w:val="00D04118"/>
    <w:rsid w:val="00D049C9"/>
    <w:rsid w:val="00D0589C"/>
    <w:rsid w:val="00D05C8D"/>
    <w:rsid w:val="00D06D3D"/>
    <w:rsid w:val="00D116D6"/>
    <w:rsid w:val="00D1352E"/>
    <w:rsid w:val="00D14EE3"/>
    <w:rsid w:val="00D16FDD"/>
    <w:rsid w:val="00D20A9B"/>
    <w:rsid w:val="00D2277C"/>
    <w:rsid w:val="00D23145"/>
    <w:rsid w:val="00D23E26"/>
    <w:rsid w:val="00D251C2"/>
    <w:rsid w:val="00D25474"/>
    <w:rsid w:val="00D312CB"/>
    <w:rsid w:val="00D316DA"/>
    <w:rsid w:val="00D31C2A"/>
    <w:rsid w:val="00D322AB"/>
    <w:rsid w:val="00D32F51"/>
    <w:rsid w:val="00D33D78"/>
    <w:rsid w:val="00D35813"/>
    <w:rsid w:val="00D3679E"/>
    <w:rsid w:val="00D37062"/>
    <w:rsid w:val="00D403BF"/>
    <w:rsid w:val="00D40784"/>
    <w:rsid w:val="00D524B7"/>
    <w:rsid w:val="00D54CB4"/>
    <w:rsid w:val="00D5567F"/>
    <w:rsid w:val="00D577BA"/>
    <w:rsid w:val="00D64B06"/>
    <w:rsid w:val="00D72695"/>
    <w:rsid w:val="00D752CA"/>
    <w:rsid w:val="00D758AE"/>
    <w:rsid w:val="00D85CA5"/>
    <w:rsid w:val="00D87869"/>
    <w:rsid w:val="00D92367"/>
    <w:rsid w:val="00D9283C"/>
    <w:rsid w:val="00D9320A"/>
    <w:rsid w:val="00D94C4D"/>
    <w:rsid w:val="00D95B09"/>
    <w:rsid w:val="00D9651F"/>
    <w:rsid w:val="00D9711D"/>
    <w:rsid w:val="00DA335E"/>
    <w:rsid w:val="00DA49FE"/>
    <w:rsid w:val="00DA554F"/>
    <w:rsid w:val="00DA6B2E"/>
    <w:rsid w:val="00DA6D9B"/>
    <w:rsid w:val="00DA7947"/>
    <w:rsid w:val="00DB406A"/>
    <w:rsid w:val="00DB6243"/>
    <w:rsid w:val="00DB7159"/>
    <w:rsid w:val="00DB7AA0"/>
    <w:rsid w:val="00DB7AF5"/>
    <w:rsid w:val="00DC0003"/>
    <w:rsid w:val="00DC3789"/>
    <w:rsid w:val="00DC58D1"/>
    <w:rsid w:val="00DC79E1"/>
    <w:rsid w:val="00DD46CE"/>
    <w:rsid w:val="00DD51CA"/>
    <w:rsid w:val="00DD5D3C"/>
    <w:rsid w:val="00DD6B55"/>
    <w:rsid w:val="00DE0567"/>
    <w:rsid w:val="00DE1816"/>
    <w:rsid w:val="00DE24B7"/>
    <w:rsid w:val="00DE3AC8"/>
    <w:rsid w:val="00DE4C84"/>
    <w:rsid w:val="00DE4E5A"/>
    <w:rsid w:val="00DE6616"/>
    <w:rsid w:val="00DF04DD"/>
    <w:rsid w:val="00DF439E"/>
    <w:rsid w:val="00DF5141"/>
    <w:rsid w:val="00E1228A"/>
    <w:rsid w:val="00E143E2"/>
    <w:rsid w:val="00E15510"/>
    <w:rsid w:val="00E17AE1"/>
    <w:rsid w:val="00E232D7"/>
    <w:rsid w:val="00E257BA"/>
    <w:rsid w:val="00E30058"/>
    <w:rsid w:val="00E306F6"/>
    <w:rsid w:val="00E31F75"/>
    <w:rsid w:val="00E34307"/>
    <w:rsid w:val="00E36C6E"/>
    <w:rsid w:val="00E43441"/>
    <w:rsid w:val="00E44770"/>
    <w:rsid w:val="00E47EC0"/>
    <w:rsid w:val="00E52C62"/>
    <w:rsid w:val="00E54360"/>
    <w:rsid w:val="00E5442E"/>
    <w:rsid w:val="00E54843"/>
    <w:rsid w:val="00E55175"/>
    <w:rsid w:val="00E55E8D"/>
    <w:rsid w:val="00E610D8"/>
    <w:rsid w:val="00E61C7F"/>
    <w:rsid w:val="00E73662"/>
    <w:rsid w:val="00E7376C"/>
    <w:rsid w:val="00E738A4"/>
    <w:rsid w:val="00E752E8"/>
    <w:rsid w:val="00E75CE8"/>
    <w:rsid w:val="00E7625A"/>
    <w:rsid w:val="00E77123"/>
    <w:rsid w:val="00E823A4"/>
    <w:rsid w:val="00E82BB3"/>
    <w:rsid w:val="00E844B1"/>
    <w:rsid w:val="00E86B83"/>
    <w:rsid w:val="00E87A3D"/>
    <w:rsid w:val="00E87AF9"/>
    <w:rsid w:val="00E94101"/>
    <w:rsid w:val="00E961D0"/>
    <w:rsid w:val="00EA225D"/>
    <w:rsid w:val="00EA3876"/>
    <w:rsid w:val="00EA4404"/>
    <w:rsid w:val="00EA5149"/>
    <w:rsid w:val="00EA58DD"/>
    <w:rsid w:val="00EA67DA"/>
    <w:rsid w:val="00EA70E6"/>
    <w:rsid w:val="00EA75D9"/>
    <w:rsid w:val="00EB0F8F"/>
    <w:rsid w:val="00EB354D"/>
    <w:rsid w:val="00EB47D7"/>
    <w:rsid w:val="00EB6DFC"/>
    <w:rsid w:val="00EB7A9C"/>
    <w:rsid w:val="00EC1D5A"/>
    <w:rsid w:val="00EC220D"/>
    <w:rsid w:val="00EC2A1B"/>
    <w:rsid w:val="00EC71EF"/>
    <w:rsid w:val="00EC7D35"/>
    <w:rsid w:val="00ED0318"/>
    <w:rsid w:val="00ED0BC7"/>
    <w:rsid w:val="00ED3471"/>
    <w:rsid w:val="00ED4F4B"/>
    <w:rsid w:val="00ED5083"/>
    <w:rsid w:val="00EE0404"/>
    <w:rsid w:val="00EE041F"/>
    <w:rsid w:val="00EF4320"/>
    <w:rsid w:val="00EF43E5"/>
    <w:rsid w:val="00EF477F"/>
    <w:rsid w:val="00EF4918"/>
    <w:rsid w:val="00EF6C0A"/>
    <w:rsid w:val="00EF6E14"/>
    <w:rsid w:val="00EF7FD6"/>
    <w:rsid w:val="00F007AB"/>
    <w:rsid w:val="00F02CE0"/>
    <w:rsid w:val="00F0525D"/>
    <w:rsid w:val="00F06700"/>
    <w:rsid w:val="00F06D7D"/>
    <w:rsid w:val="00F15994"/>
    <w:rsid w:val="00F15BAF"/>
    <w:rsid w:val="00F15C86"/>
    <w:rsid w:val="00F16AB9"/>
    <w:rsid w:val="00F22872"/>
    <w:rsid w:val="00F23B24"/>
    <w:rsid w:val="00F275D8"/>
    <w:rsid w:val="00F27B37"/>
    <w:rsid w:val="00F27CCC"/>
    <w:rsid w:val="00F32597"/>
    <w:rsid w:val="00F33A08"/>
    <w:rsid w:val="00F34618"/>
    <w:rsid w:val="00F374E5"/>
    <w:rsid w:val="00F37C83"/>
    <w:rsid w:val="00F43629"/>
    <w:rsid w:val="00F43D57"/>
    <w:rsid w:val="00F43FC8"/>
    <w:rsid w:val="00F45BC8"/>
    <w:rsid w:val="00F46E2E"/>
    <w:rsid w:val="00F470E9"/>
    <w:rsid w:val="00F527A0"/>
    <w:rsid w:val="00F52F15"/>
    <w:rsid w:val="00F555C1"/>
    <w:rsid w:val="00F602C4"/>
    <w:rsid w:val="00F61CFC"/>
    <w:rsid w:val="00F61F32"/>
    <w:rsid w:val="00F63ADF"/>
    <w:rsid w:val="00F65E03"/>
    <w:rsid w:val="00F66E97"/>
    <w:rsid w:val="00F703DF"/>
    <w:rsid w:val="00F70FA7"/>
    <w:rsid w:val="00F82988"/>
    <w:rsid w:val="00F833F2"/>
    <w:rsid w:val="00F85FEA"/>
    <w:rsid w:val="00F87CA1"/>
    <w:rsid w:val="00F91306"/>
    <w:rsid w:val="00F91E96"/>
    <w:rsid w:val="00F93EC4"/>
    <w:rsid w:val="00F94735"/>
    <w:rsid w:val="00F94944"/>
    <w:rsid w:val="00F94CA4"/>
    <w:rsid w:val="00F960C4"/>
    <w:rsid w:val="00F96E4A"/>
    <w:rsid w:val="00FA11B1"/>
    <w:rsid w:val="00FA30EC"/>
    <w:rsid w:val="00FA4B33"/>
    <w:rsid w:val="00FA6F18"/>
    <w:rsid w:val="00FB0E19"/>
    <w:rsid w:val="00FB16FB"/>
    <w:rsid w:val="00FB2573"/>
    <w:rsid w:val="00FB37AA"/>
    <w:rsid w:val="00FB7F89"/>
    <w:rsid w:val="00FC2C6C"/>
    <w:rsid w:val="00FC3AAD"/>
    <w:rsid w:val="00FC4CA4"/>
    <w:rsid w:val="00FD3CBE"/>
    <w:rsid w:val="00FD7D27"/>
    <w:rsid w:val="00FE424F"/>
    <w:rsid w:val="00FE4E27"/>
    <w:rsid w:val="00FE5E40"/>
    <w:rsid w:val="00FE6BEA"/>
    <w:rsid w:val="00FF08BF"/>
    <w:rsid w:val="00FF1198"/>
    <w:rsid w:val="00FF4174"/>
    <w:rsid w:val="00FF7B6A"/>
    <w:rsid w:val="03460CD9"/>
    <w:rsid w:val="06E75409"/>
    <w:rsid w:val="073B51B7"/>
    <w:rsid w:val="0797103D"/>
    <w:rsid w:val="099F025A"/>
    <w:rsid w:val="0B3704B4"/>
    <w:rsid w:val="0C7327EB"/>
    <w:rsid w:val="0C8063E7"/>
    <w:rsid w:val="0C9F7A36"/>
    <w:rsid w:val="0CAC517A"/>
    <w:rsid w:val="0CE972B8"/>
    <w:rsid w:val="0DB03D55"/>
    <w:rsid w:val="0EB86E27"/>
    <w:rsid w:val="10F93F06"/>
    <w:rsid w:val="11A0756D"/>
    <w:rsid w:val="12DC05B5"/>
    <w:rsid w:val="1450231E"/>
    <w:rsid w:val="15B80698"/>
    <w:rsid w:val="172F2F59"/>
    <w:rsid w:val="17534CEC"/>
    <w:rsid w:val="179D1EDB"/>
    <w:rsid w:val="1A9637AF"/>
    <w:rsid w:val="1BDE13C1"/>
    <w:rsid w:val="1CE47554"/>
    <w:rsid w:val="1CF90154"/>
    <w:rsid w:val="208D2895"/>
    <w:rsid w:val="220B6B38"/>
    <w:rsid w:val="25C82A4C"/>
    <w:rsid w:val="26153389"/>
    <w:rsid w:val="261C0F13"/>
    <w:rsid w:val="27DD2B84"/>
    <w:rsid w:val="29C23C24"/>
    <w:rsid w:val="2C9456EE"/>
    <w:rsid w:val="2D00084B"/>
    <w:rsid w:val="2DA26642"/>
    <w:rsid w:val="2F172B1B"/>
    <w:rsid w:val="2F817BE3"/>
    <w:rsid w:val="325E2F6A"/>
    <w:rsid w:val="33375694"/>
    <w:rsid w:val="339802E0"/>
    <w:rsid w:val="342A6B27"/>
    <w:rsid w:val="355F3466"/>
    <w:rsid w:val="36232246"/>
    <w:rsid w:val="37FF69FD"/>
    <w:rsid w:val="384D221C"/>
    <w:rsid w:val="388131BD"/>
    <w:rsid w:val="394D4F22"/>
    <w:rsid w:val="3A541FF7"/>
    <w:rsid w:val="3AE85EBF"/>
    <w:rsid w:val="3B231DB6"/>
    <w:rsid w:val="3C6B5B77"/>
    <w:rsid w:val="3DD07A46"/>
    <w:rsid w:val="404C56FF"/>
    <w:rsid w:val="41C77FE8"/>
    <w:rsid w:val="41F14FD0"/>
    <w:rsid w:val="44122E34"/>
    <w:rsid w:val="45EC4713"/>
    <w:rsid w:val="45F762BD"/>
    <w:rsid w:val="4AB560CE"/>
    <w:rsid w:val="4D8C0D6D"/>
    <w:rsid w:val="4DED3CD5"/>
    <w:rsid w:val="4E080B51"/>
    <w:rsid w:val="4F7C6051"/>
    <w:rsid w:val="50CB1798"/>
    <w:rsid w:val="513D70DA"/>
    <w:rsid w:val="51D71EED"/>
    <w:rsid w:val="52634A96"/>
    <w:rsid w:val="538E2D0B"/>
    <w:rsid w:val="598072CA"/>
    <w:rsid w:val="5C597408"/>
    <w:rsid w:val="5CB069F1"/>
    <w:rsid w:val="5D8B6D68"/>
    <w:rsid w:val="5E465936"/>
    <w:rsid w:val="5EBC12FA"/>
    <w:rsid w:val="5F961379"/>
    <w:rsid w:val="5F9D7B88"/>
    <w:rsid w:val="5FCF4E6E"/>
    <w:rsid w:val="603A41BB"/>
    <w:rsid w:val="612F3F66"/>
    <w:rsid w:val="66DE0B02"/>
    <w:rsid w:val="679F325F"/>
    <w:rsid w:val="6835642B"/>
    <w:rsid w:val="6A475D4D"/>
    <w:rsid w:val="6AEF312F"/>
    <w:rsid w:val="6BB67446"/>
    <w:rsid w:val="6ED274D6"/>
    <w:rsid w:val="6EE72672"/>
    <w:rsid w:val="715603A1"/>
    <w:rsid w:val="719A4CC7"/>
    <w:rsid w:val="72AE00E5"/>
    <w:rsid w:val="72E8428C"/>
    <w:rsid w:val="74180B9A"/>
    <w:rsid w:val="75BD6C28"/>
    <w:rsid w:val="75E8386D"/>
    <w:rsid w:val="767A4544"/>
    <w:rsid w:val="77B0779C"/>
    <w:rsid w:val="780E5898"/>
    <w:rsid w:val="787248B0"/>
    <w:rsid w:val="79B32B63"/>
    <w:rsid w:val="7A0D7DD8"/>
    <w:rsid w:val="7AA52375"/>
    <w:rsid w:val="7C60038E"/>
    <w:rsid w:val="7F6762BE"/>
    <w:rsid w:val="7FF708F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Times New Roman" w:hAnsi="Times New Roman" w:eastAsia="宋体" w:cs="Times New Roman"/>
      <w:sz w:val="24"/>
      <w:szCs w:val="24"/>
      <w:lang w:val="en-US" w:eastAsia="en-US"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4"/>
    <w:qFormat/>
    <w:uiPriority w:val="0"/>
    <w:pPr>
      <w:spacing w:after="120"/>
    </w:pPr>
  </w:style>
  <w:style w:type="paragraph" w:styleId="4">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 w:type="paragraph" w:styleId="5">
    <w:name w:val="Date"/>
    <w:basedOn w:val="1"/>
    <w:next w:val="1"/>
    <w:link w:val="23"/>
    <w:qFormat/>
    <w:uiPriority w:val="0"/>
    <w:pPr>
      <w:ind w:left="100" w:leftChars="2500"/>
    </w:pPr>
  </w:style>
  <w:style w:type="paragraph" w:styleId="6">
    <w:name w:val="Balloon Text"/>
    <w:basedOn w:val="1"/>
    <w:link w:val="26"/>
    <w:qFormat/>
    <w:uiPriority w:val="0"/>
    <w:rPr>
      <w:sz w:val="18"/>
      <w:szCs w:val="18"/>
    </w:rPr>
  </w:style>
  <w:style w:type="paragraph" w:styleId="7">
    <w:name w:val="footer"/>
    <w:basedOn w:val="1"/>
    <w:qFormat/>
    <w:uiPriority w:val="0"/>
    <w:pPr>
      <w:tabs>
        <w:tab w:val="center" w:pos="4153"/>
        <w:tab w:val="right" w:pos="8306"/>
      </w:tabs>
      <w:snapToGrid w:val="0"/>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9">
    <w:name w:val="Normal (Web)"/>
    <w:basedOn w:val="1"/>
    <w:qFormat/>
    <w:uiPriority w:val="99"/>
  </w:style>
  <w:style w:type="table" w:styleId="11">
    <w:name w:val="Table Grid"/>
    <w:basedOn w:val="10"/>
    <w:qFormat/>
    <w:uiPriority w:val="0"/>
    <w:rPr>
      <w:rFonts w:hint="eastAsia" w:ascii="宋体" w:cs="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op w:val="single" w:color="000000" w:sz="4" w:space="0"/>
        <w:left w:val="single" w:color="000000" w:sz="4" w:space="0"/>
        <w:bottom w:val="single" w:color="000000" w:sz="4" w:space="0"/>
        <w:right w:val="single" w:color="000000" w:sz="4" w:space="0"/>
      </w:tcBorders>
    </w:tcPr>
  </w:style>
  <w:style w:type="character" w:styleId="13">
    <w:name w:val="Strong"/>
    <w:basedOn w:val="12"/>
    <w:qFormat/>
    <w:uiPriority w:val="22"/>
    <w:rPr>
      <w:b/>
      <w:bCs/>
    </w:rPr>
  </w:style>
  <w:style w:type="character" w:styleId="14">
    <w:name w:val="Hyperlink"/>
    <w:basedOn w:val="12"/>
    <w:unhideWhenUsed/>
    <w:qFormat/>
    <w:uiPriority w:val="0"/>
    <w:rPr>
      <w:color w:val="0563C1" w:themeColor="hyperlink"/>
      <w:u w:val="single"/>
    </w:rPr>
  </w:style>
  <w:style w:type="character" w:styleId="15">
    <w:name w:val="footnote reference"/>
    <w:semiHidden/>
    <w:qFormat/>
    <w:uiPriority w:val="0"/>
    <w:rPr>
      <w:vertAlign w:val="superscript"/>
    </w:rPr>
  </w:style>
  <w:style w:type="paragraph" w:customStyle="1" w:styleId="16">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7">
    <w:name w:val="二级无"/>
    <w:basedOn w:val="18"/>
    <w:qFormat/>
    <w:uiPriority w:val="0"/>
    <w:pPr>
      <w:spacing w:beforeLines="0" w:afterLines="0"/>
    </w:pPr>
    <w:rPr>
      <w:rFonts w:ascii="宋体" w:eastAsia="宋体"/>
    </w:rPr>
  </w:style>
  <w:style w:type="paragraph" w:customStyle="1" w:styleId="18">
    <w:name w:val="二级条标题"/>
    <w:basedOn w:val="19"/>
    <w:next w:val="16"/>
    <w:qFormat/>
    <w:uiPriority w:val="0"/>
    <w:pPr>
      <w:numPr>
        <w:ilvl w:val="2"/>
      </w:numPr>
      <w:spacing w:before="50" w:after="50"/>
      <w:outlineLvl w:val="3"/>
    </w:pPr>
  </w:style>
  <w:style w:type="paragraph" w:customStyle="1" w:styleId="19">
    <w:name w:val="一级条标题"/>
    <w:next w:val="1"/>
    <w:qFormat/>
    <w:uiPriority w:val="0"/>
    <w:pPr>
      <w:numPr>
        <w:ilvl w:val="1"/>
        <w:numId w:val="1"/>
      </w:numPr>
      <w:spacing w:beforeLines="50" w:afterLines="50"/>
      <w:ind w:left="0"/>
      <w:outlineLvl w:val="2"/>
    </w:pPr>
    <w:rPr>
      <w:rFonts w:ascii="黑体" w:hAnsi="Times New Roman" w:eastAsia="黑体" w:cs="Times New Roman"/>
      <w:sz w:val="21"/>
      <w:szCs w:val="21"/>
      <w:lang w:val="en-US" w:eastAsia="zh-CN" w:bidi="ar-SA"/>
    </w:rPr>
  </w:style>
  <w:style w:type="paragraph" w:customStyle="1" w:styleId="20">
    <w:name w:val="一级无"/>
    <w:basedOn w:val="19"/>
    <w:qFormat/>
    <w:uiPriority w:val="0"/>
    <w:pPr>
      <w:spacing w:beforeLines="0" w:afterLines="0"/>
    </w:pPr>
    <w:rPr>
      <w:rFonts w:ascii="宋体" w:eastAsia="宋体"/>
    </w:rPr>
  </w:style>
  <w:style w:type="character" w:customStyle="1" w:styleId="21">
    <w:name w:val="段 Char"/>
    <w:basedOn w:val="12"/>
    <w:qFormat/>
    <w:uiPriority w:val="0"/>
    <w:rPr>
      <w:rFonts w:hint="eastAsia" w:ascii="宋体" w:hAnsi="宋体" w:eastAsia="宋体" w:cs="宋体"/>
      <w:sz w:val="21"/>
    </w:rPr>
  </w:style>
  <w:style w:type="paragraph" w:customStyle="1" w:styleId="22">
    <w:name w:val="字母编号列项（一级）"/>
    <w:basedOn w:val="1"/>
    <w:qFormat/>
    <w:uiPriority w:val="0"/>
    <w:pPr>
      <w:widowControl/>
      <w:numPr>
        <w:ilvl w:val="0"/>
        <w:numId w:val="2"/>
      </w:numPr>
      <w:jc w:val="both"/>
    </w:pPr>
    <w:rPr>
      <w:rFonts w:hint="eastAsia" w:ascii="宋体"/>
      <w:sz w:val="21"/>
      <w:szCs w:val="20"/>
      <w:lang w:eastAsia="zh-CN"/>
    </w:rPr>
  </w:style>
  <w:style w:type="character" w:customStyle="1" w:styleId="23">
    <w:name w:val="日期 字符"/>
    <w:basedOn w:val="12"/>
    <w:link w:val="5"/>
    <w:qFormat/>
    <w:uiPriority w:val="0"/>
    <w:rPr>
      <w:sz w:val="24"/>
      <w:szCs w:val="24"/>
      <w:lang w:eastAsia="en-US"/>
    </w:rPr>
  </w:style>
  <w:style w:type="paragraph" w:customStyle="1" w:styleId="24">
    <w:name w:val="注："/>
    <w:next w:val="16"/>
    <w:qFormat/>
    <w:uiPriority w:val="0"/>
    <w:pPr>
      <w:widowControl w:val="0"/>
      <w:numPr>
        <w:ilvl w:val="0"/>
        <w:numId w:val="3"/>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25">
    <w:name w:val="注×："/>
    <w:qFormat/>
    <w:uiPriority w:val="0"/>
    <w:pPr>
      <w:widowControl w:val="0"/>
      <w:autoSpaceDE w:val="0"/>
      <w:autoSpaceDN w:val="0"/>
      <w:jc w:val="both"/>
    </w:pPr>
    <w:rPr>
      <w:rFonts w:ascii="宋体" w:hAnsi="Times New Roman" w:eastAsia="宋体" w:cs="Times New Roman"/>
      <w:sz w:val="18"/>
      <w:szCs w:val="18"/>
      <w:lang w:val="en-US" w:eastAsia="zh-CN" w:bidi="ar-SA"/>
    </w:rPr>
  </w:style>
  <w:style w:type="character" w:customStyle="1" w:styleId="26">
    <w:name w:val="批注框文本 字符"/>
    <w:basedOn w:val="12"/>
    <w:link w:val="6"/>
    <w:qFormat/>
    <w:uiPriority w:val="0"/>
    <w:rPr>
      <w:sz w:val="18"/>
      <w:szCs w:val="18"/>
      <w:lang w:eastAsia="en-US"/>
    </w:rPr>
  </w:style>
  <w:style w:type="paragraph" w:customStyle="1" w:styleId="27">
    <w:name w:val="章标题"/>
    <w:next w:val="16"/>
    <w:qFormat/>
    <w:uiPriority w:val="0"/>
    <w:pPr>
      <w:spacing w:beforeLines="100" w:afterLines="100"/>
      <w:jc w:val="both"/>
      <w:outlineLvl w:val="1"/>
    </w:pPr>
    <w:rPr>
      <w:rFonts w:ascii="黑体" w:hAnsi="Times New Roman" w:eastAsia="黑体" w:cs="Times New Roman"/>
      <w:sz w:val="21"/>
      <w:lang w:val="en-US" w:eastAsia="zh-CN" w:bidi="ar-SA"/>
    </w:rPr>
  </w:style>
  <w:style w:type="paragraph" w:customStyle="1" w:styleId="28">
    <w:name w:val="三级条标题"/>
    <w:basedOn w:val="18"/>
    <w:next w:val="16"/>
    <w:qFormat/>
    <w:uiPriority w:val="0"/>
    <w:pPr>
      <w:numPr>
        <w:ilvl w:val="0"/>
        <w:numId w:val="0"/>
      </w:numPr>
      <w:outlineLvl w:val="4"/>
    </w:pPr>
  </w:style>
  <w:style w:type="paragraph" w:customStyle="1" w:styleId="29">
    <w:name w:val="四级条标题"/>
    <w:basedOn w:val="28"/>
    <w:next w:val="16"/>
    <w:qFormat/>
    <w:uiPriority w:val="0"/>
    <w:pPr>
      <w:outlineLvl w:val="5"/>
    </w:pPr>
  </w:style>
  <w:style w:type="paragraph" w:customStyle="1" w:styleId="30">
    <w:name w:val="五级条标题"/>
    <w:basedOn w:val="29"/>
    <w:next w:val="16"/>
    <w:qFormat/>
    <w:uiPriority w:val="0"/>
    <w:pPr>
      <w:outlineLvl w:val="6"/>
    </w:pPr>
  </w:style>
  <w:style w:type="paragraph" w:styleId="31">
    <w:name w:val="List Paragraph"/>
    <w:basedOn w:val="1"/>
    <w:unhideWhenUsed/>
    <w:qFormat/>
    <w:uiPriority w:val="34"/>
    <w:pPr>
      <w:ind w:firstLine="420" w:firstLineChars="200"/>
    </w:pPr>
  </w:style>
  <w:style w:type="paragraph" w:customStyle="1" w:styleId="32">
    <w:name w:val="正文表标题"/>
    <w:next w:val="16"/>
    <w:qFormat/>
    <w:uiPriority w:val="0"/>
    <w:pPr>
      <w:tabs>
        <w:tab w:val="left" w:pos="720"/>
      </w:tabs>
      <w:spacing w:beforeLines="50" w:afterLines="50"/>
      <w:ind w:left="720" w:hanging="720"/>
      <w:jc w:val="center"/>
    </w:pPr>
    <w:rPr>
      <w:rFonts w:ascii="黑体" w:hAnsi="Times New Roman" w:eastAsia="黑体" w:cs="Times New Roman"/>
      <w:sz w:val="21"/>
      <w:lang w:val="en-US" w:eastAsia="zh-CN" w:bidi="ar-SA"/>
    </w:rPr>
  </w:style>
  <w:style w:type="paragraph" w:customStyle="1" w:styleId="33">
    <w:name w:val="正文图标题"/>
    <w:next w:val="16"/>
    <w:qFormat/>
    <w:uiPriority w:val="0"/>
    <w:pPr>
      <w:numPr>
        <w:ilvl w:val="0"/>
        <w:numId w:val="4"/>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34">
    <w:name w:val="其他发布日期"/>
    <w:basedOn w:val="1"/>
    <w:qFormat/>
    <w:uiPriority w:val="0"/>
    <w:pPr>
      <w:framePr w:w="3997" w:h="471" w:hRule="exact" w:vSpace="181" w:wrap="around" w:vAnchor="page" w:hAnchor="page" w:x="1419" w:y="14097" w:anchorLock="1"/>
      <w:widowControl/>
      <w:numPr>
        <w:ilvl w:val="0"/>
        <w:numId w:val="5"/>
      </w:numPr>
      <w:autoSpaceDE/>
      <w:autoSpaceDN/>
    </w:pPr>
    <w:rPr>
      <w:rFonts w:eastAsia="黑体"/>
      <w:sz w:val="28"/>
      <w:szCs w:val="20"/>
      <w:lang w:eastAsia="zh-CN"/>
    </w:rPr>
  </w:style>
  <w:style w:type="character" w:customStyle="1" w:styleId="35">
    <w:name w:val="未处理的提及1"/>
    <w:basedOn w:val="12"/>
    <w:semiHidden/>
    <w:unhideWhenUsed/>
    <w:qFormat/>
    <w:uiPriority w:val="99"/>
    <w:rPr>
      <w:color w:val="605E5C"/>
      <w:shd w:val="clear" w:color="auto" w:fill="E1DFDD"/>
    </w:rPr>
  </w:style>
  <w:style w:type="character" w:customStyle="1" w:styleId="36">
    <w:name w:val="bjh-p"/>
    <w:basedOn w:val="12"/>
    <w:qFormat/>
    <w:uiPriority w:val="0"/>
  </w:style>
  <w:style w:type="character" w:customStyle="1" w:styleId="37">
    <w:name w:val="Unresolved Mention"/>
    <w:basedOn w:val="12"/>
    <w:semiHidden/>
    <w:unhideWhenUsed/>
    <w:qFormat/>
    <w:uiPriority w:val="99"/>
    <w:rPr>
      <w:color w:val="605E5C"/>
      <w:shd w:val="clear" w:color="auto" w:fill="E1DFDD"/>
    </w:rPr>
  </w:style>
  <w:style w:type="paragraph" w:customStyle="1" w:styleId="38">
    <w:name w:val="标准文件_段"/>
    <w:qFormat/>
    <w:uiPriority w:val="0"/>
    <w:pPr>
      <w:ind w:firstLine="198" w:firstLineChars="200"/>
      <w:jc w:val="both"/>
    </w:pPr>
    <w:rPr>
      <w:rFonts w:ascii="宋体" w:hAnsi="Times New Roman" w:eastAsia="宋体" w:cstheme="minorBidi"/>
      <w:sz w:val="21"/>
      <w:lang w:val="en-US" w:eastAsia="zh-CN" w:bidi="ar-SA"/>
    </w:rPr>
  </w:style>
  <w:style w:type="paragraph" w:customStyle="1" w:styleId="39">
    <w:name w:val="标准文件_二级无标题"/>
    <w:basedOn w:val="40"/>
    <w:qFormat/>
    <w:uiPriority w:val="0"/>
    <w:pPr>
      <w:spacing w:beforeLines="0" w:afterLines="0"/>
      <w:outlineLvl w:val="9"/>
    </w:pPr>
    <w:rPr>
      <w:rFonts w:ascii="宋体" w:hAnsi="宋体" w:eastAsia="宋体"/>
      <w:kern w:val="2"/>
      <w:szCs w:val="22"/>
    </w:rPr>
  </w:style>
  <w:style w:type="paragraph" w:customStyle="1" w:styleId="40">
    <w:name w:val="标准文件_二级条标题"/>
    <w:next w:val="38"/>
    <w:qFormat/>
    <w:uiPriority w:val="0"/>
    <w:pPr>
      <w:numPr>
        <w:ilvl w:val="2"/>
        <w:numId w:val="6"/>
      </w:numPr>
      <w:spacing w:beforeLines="50" w:afterLines="50"/>
      <w:jc w:val="both"/>
      <w:outlineLvl w:val="2"/>
    </w:pPr>
    <w:rPr>
      <w:rFonts w:ascii="黑体" w:hAnsi="黑体" w:eastAsia="黑体" w:cstheme="minorBidi"/>
      <w:sz w:val="21"/>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市质量技术监督局</Company>
  <Pages>13</Pages>
  <Words>944</Words>
  <Characters>5386</Characters>
  <Lines>44</Lines>
  <Paragraphs>12</Paragraphs>
  <TotalTime>60</TotalTime>
  <ScaleCrop>false</ScaleCrop>
  <LinksUpToDate>false</LinksUpToDate>
  <CharactersWithSpaces>6318</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2021-12-14T09:22:00Z</dcterms:created>
  <dc:creator>Jeff-Z</dc:creator>
  <cp:lastModifiedBy>冬雪</cp:lastModifiedBy>
  <cp:lastPrinted>2024-04-25T10:29:00Z</cp:lastPrinted>
  <dcterms:modified xsi:type="dcterms:W3CDTF">2025-04-21T09:16:52Z</dcterms:modified>
  <cp:revision>542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58E2C60B6A4440A4911CC6E76CA0E142</vt:lpwstr>
  </property>
</Properties>
</file>